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5BDC" w14:textId="2591FECD" w:rsidR="00E56A79" w:rsidRPr="00214513" w:rsidRDefault="00E56A79" w:rsidP="00E56A79">
      <w:pPr>
        <w:pStyle w:val="Heading1"/>
        <w:rPr>
          <w:rFonts w:ascii="Verdana" w:hAnsi="Verdana"/>
          <w:sz w:val="40"/>
          <w:szCs w:val="40"/>
        </w:rPr>
      </w:pPr>
      <w:r w:rsidRPr="00214513">
        <w:rPr>
          <w:rFonts w:ascii="Verdana" w:hAnsi="Verdana"/>
          <w:sz w:val="40"/>
          <w:szCs w:val="40"/>
        </w:rPr>
        <w:t>COVID-19 Outcomes for People Receiving Disability Support Services</w:t>
      </w:r>
      <w:r w:rsidR="770D2559" w:rsidRPr="00214513">
        <w:rPr>
          <w:rFonts w:ascii="Verdana" w:hAnsi="Verdana"/>
          <w:sz w:val="40"/>
          <w:szCs w:val="40"/>
        </w:rPr>
        <w:t xml:space="preserve"> (DSS)</w:t>
      </w:r>
    </w:p>
    <w:p w14:paraId="0F58323F" w14:textId="464227B7" w:rsidR="002B33E1" w:rsidRPr="00214513" w:rsidRDefault="002B33E1" w:rsidP="002B33E1">
      <w:pPr>
        <w:rPr>
          <w:b/>
          <w:bCs/>
        </w:rPr>
      </w:pPr>
      <w:r w:rsidRPr="00214513">
        <w:rPr>
          <w:b/>
          <w:bCs/>
        </w:rPr>
        <w:t>09 February 2023</w:t>
      </w:r>
    </w:p>
    <w:p w14:paraId="66B478CB" w14:textId="0B56D124" w:rsidR="00E56A79" w:rsidRPr="00214513" w:rsidRDefault="00E56A79" w:rsidP="00951306">
      <w:pPr>
        <w:pStyle w:val="Heading2"/>
        <w:spacing w:line="312" w:lineRule="auto"/>
        <w:rPr>
          <w:b w:val="0"/>
          <w:bCs/>
          <w:sz w:val="22"/>
          <w:szCs w:val="22"/>
        </w:rPr>
      </w:pPr>
      <w:r w:rsidRPr="00214513">
        <w:rPr>
          <w:b w:val="0"/>
          <w:bCs/>
          <w:sz w:val="22"/>
          <w:szCs w:val="22"/>
        </w:rPr>
        <w:t xml:space="preserve">The content of this </w:t>
      </w:r>
      <w:r w:rsidR="002B33E1" w:rsidRPr="00214513">
        <w:rPr>
          <w:b w:val="0"/>
          <w:bCs/>
          <w:sz w:val="22"/>
          <w:szCs w:val="22"/>
        </w:rPr>
        <w:t>paper</w:t>
      </w:r>
      <w:r w:rsidRPr="00214513">
        <w:rPr>
          <w:b w:val="0"/>
          <w:bCs/>
          <w:sz w:val="22"/>
          <w:szCs w:val="22"/>
        </w:rPr>
        <w:t xml:space="preserve"> covers topics including death and mortality. In recognition of the significance of this topic, we have included the below </w:t>
      </w:r>
      <w:proofErr w:type="spellStart"/>
      <w:r w:rsidRPr="00214513">
        <w:rPr>
          <w:b w:val="0"/>
          <w:bCs/>
          <w:sz w:val="22"/>
          <w:szCs w:val="22"/>
        </w:rPr>
        <w:t>karakia</w:t>
      </w:r>
      <w:proofErr w:type="spellEnd"/>
      <w:r w:rsidRPr="00214513">
        <w:rPr>
          <w:b w:val="0"/>
          <w:bCs/>
          <w:sz w:val="22"/>
          <w:szCs w:val="22"/>
        </w:rPr>
        <w:t>:</w:t>
      </w:r>
    </w:p>
    <w:p w14:paraId="4DC9ECF9" w14:textId="18B3CFEB" w:rsidR="00E56A79" w:rsidRPr="00214513" w:rsidRDefault="00E56A79" w:rsidP="00951306">
      <w:pPr>
        <w:spacing w:line="312" w:lineRule="auto"/>
        <w:rPr>
          <w:sz w:val="22"/>
          <w:szCs w:val="22"/>
        </w:rPr>
      </w:pPr>
      <w:r w:rsidRPr="00214513">
        <w:rPr>
          <w:sz w:val="22"/>
          <w:szCs w:val="22"/>
        </w:rPr>
        <w:t xml:space="preserve">Kia piki </w:t>
      </w:r>
      <w:proofErr w:type="spellStart"/>
      <w:r w:rsidRPr="00214513">
        <w:rPr>
          <w:sz w:val="22"/>
          <w:szCs w:val="22"/>
        </w:rPr>
        <w:t>te</w:t>
      </w:r>
      <w:proofErr w:type="spellEnd"/>
      <w:r w:rsidRPr="00214513">
        <w:rPr>
          <w:sz w:val="22"/>
          <w:szCs w:val="22"/>
        </w:rPr>
        <w:t xml:space="preserve"> ora</w:t>
      </w:r>
      <w:r w:rsidRPr="00214513">
        <w:tab/>
      </w:r>
      <w:r w:rsidRPr="00214513">
        <w:tab/>
      </w:r>
      <w:r w:rsidRPr="00214513">
        <w:tab/>
      </w:r>
      <w:r w:rsidRPr="00214513">
        <w:tab/>
      </w:r>
      <w:r w:rsidRPr="00214513">
        <w:rPr>
          <w:sz w:val="22"/>
          <w:szCs w:val="22"/>
        </w:rPr>
        <w:t xml:space="preserve">May your health and </w:t>
      </w:r>
      <w:proofErr w:type="spellStart"/>
      <w:r w:rsidRPr="00214513">
        <w:rPr>
          <w:sz w:val="22"/>
          <w:szCs w:val="22"/>
        </w:rPr>
        <w:t>well being</w:t>
      </w:r>
      <w:proofErr w:type="spellEnd"/>
      <w:r w:rsidRPr="00214513">
        <w:rPr>
          <w:sz w:val="22"/>
          <w:szCs w:val="22"/>
        </w:rPr>
        <w:t xml:space="preserve"> ascend</w:t>
      </w:r>
    </w:p>
    <w:p w14:paraId="01C1D3F5" w14:textId="201222ED" w:rsidR="00E56A79" w:rsidRPr="00214513" w:rsidRDefault="00E56A79" w:rsidP="00951306">
      <w:pPr>
        <w:spacing w:line="312" w:lineRule="auto"/>
        <w:rPr>
          <w:sz w:val="22"/>
          <w:szCs w:val="22"/>
        </w:rPr>
      </w:pPr>
      <w:r w:rsidRPr="00214513">
        <w:rPr>
          <w:sz w:val="22"/>
          <w:szCs w:val="22"/>
        </w:rPr>
        <w:t xml:space="preserve">Kia piki </w:t>
      </w:r>
      <w:proofErr w:type="spellStart"/>
      <w:r w:rsidRPr="00214513">
        <w:rPr>
          <w:sz w:val="22"/>
          <w:szCs w:val="22"/>
        </w:rPr>
        <w:t>te</w:t>
      </w:r>
      <w:proofErr w:type="spellEnd"/>
      <w:r w:rsidRPr="00214513">
        <w:rPr>
          <w:sz w:val="22"/>
          <w:szCs w:val="22"/>
        </w:rPr>
        <w:t xml:space="preserve"> kaha</w:t>
      </w:r>
      <w:r w:rsidRPr="00214513">
        <w:tab/>
      </w:r>
      <w:r w:rsidRPr="00214513">
        <w:tab/>
      </w:r>
      <w:r w:rsidRPr="00214513">
        <w:tab/>
      </w:r>
      <w:r w:rsidRPr="00214513">
        <w:tab/>
      </w:r>
      <w:r w:rsidRPr="00214513">
        <w:rPr>
          <w:sz w:val="22"/>
          <w:szCs w:val="22"/>
        </w:rPr>
        <w:t>May your strength increase</w:t>
      </w:r>
    </w:p>
    <w:p w14:paraId="2B5C9949" w14:textId="6F1F0AAB" w:rsidR="00E56A79" w:rsidRPr="00214513" w:rsidRDefault="00E56A79" w:rsidP="00951306">
      <w:pPr>
        <w:spacing w:line="312" w:lineRule="auto"/>
        <w:rPr>
          <w:sz w:val="22"/>
          <w:szCs w:val="22"/>
        </w:rPr>
      </w:pPr>
      <w:r w:rsidRPr="00214513">
        <w:rPr>
          <w:sz w:val="22"/>
          <w:szCs w:val="22"/>
        </w:rPr>
        <w:t xml:space="preserve">Kia piki </w:t>
      </w:r>
      <w:proofErr w:type="spellStart"/>
      <w:r w:rsidRPr="00214513">
        <w:rPr>
          <w:sz w:val="22"/>
          <w:szCs w:val="22"/>
        </w:rPr>
        <w:t>te</w:t>
      </w:r>
      <w:proofErr w:type="spellEnd"/>
      <w:r w:rsidRPr="00214513">
        <w:rPr>
          <w:sz w:val="22"/>
          <w:szCs w:val="22"/>
        </w:rPr>
        <w:t xml:space="preserve"> </w:t>
      </w:r>
      <w:proofErr w:type="spellStart"/>
      <w:r w:rsidRPr="00214513">
        <w:rPr>
          <w:sz w:val="22"/>
          <w:szCs w:val="22"/>
        </w:rPr>
        <w:t>wairua</w:t>
      </w:r>
      <w:proofErr w:type="spellEnd"/>
      <w:r w:rsidRPr="00214513">
        <w:rPr>
          <w:sz w:val="22"/>
          <w:szCs w:val="22"/>
        </w:rPr>
        <w:tab/>
      </w:r>
      <w:r w:rsidRPr="00214513">
        <w:rPr>
          <w:sz w:val="22"/>
          <w:szCs w:val="22"/>
        </w:rPr>
        <w:tab/>
      </w:r>
      <w:r w:rsidRPr="00214513">
        <w:rPr>
          <w:sz w:val="22"/>
          <w:szCs w:val="22"/>
        </w:rPr>
        <w:tab/>
      </w:r>
      <w:r w:rsidRPr="00214513">
        <w:rPr>
          <w:sz w:val="22"/>
          <w:szCs w:val="22"/>
        </w:rPr>
        <w:tab/>
        <w:t>May your spirituality enhance</w:t>
      </w:r>
    </w:p>
    <w:p w14:paraId="14E9458C" w14:textId="36C12650" w:rsidR="00E56A79" w:rsidRDefault="00E56A79" w:rsidP="00951306">
      <w:pPr>
        <w:spacing w:line="312" w:lineRule="auto"/>
        <w:rPr>
          <w:sz w:val="22"/>
          <w:szCs w:val="22"/>
        </w:rPr>
      </w:pPr>
      <w:proofErr w:type="spellStart"/>
      <w:r w:rsidRPr="00214513">
        <w:rPr>
          <w:sz w:val="22"/>
          <w:szCs w:val="22"/>
        </w:rPr>
        <w:t>Haumi</w:t>
      </w:r>
      <w:proofErr w:type="spellEnd"/>
      <w:r w:rsidRPr="00214513">
        <w:rPr>
          <w:sz w:val="22"/>
          <w:szCs w:val="22"/>
        </w:rPr>
        <w:t xml:space="preserve"> e, hui e, </w:t>
      </w:r>
      <w:proofErr w:type="spellStart"/>
      <w:r w:rsidRPr="00214513">
        <w:rPr>
          <w:sz w:val="22"/>
          <w:szCs w:val="22"/>
        </w:rPr>
        <w:t>taiki</w:t>
      </w:r>
      <w:proofErr w:type="spellEnd"/>
      <w:r w:rsidRPr="00214513">
        <w:rPr>
          <w:sz w:val="22"/>
          <w:szCs w:val="22"/>
        </w:rPr>
        <w:t xml:space="preserve"> e</w:t>
      </w:r>
      <w:r w:rsidRPr="00214513">
        <w:rPr>
          <w:sz w:val="22"/>
          <w:szCs w:val="22"/>
        </w:rPr>
        <w:tab/>
      </w:r>
      <w:r w:rsidRPr="00214513">
        <w:rPr>
          <w:sz w:val="22"/>
          <w:szCs w:val="22"/>
        </w:rPr>
        <w:tab/>
      </w:r>
      <w:r w:rsidRPr="00214513">
        <w:rPr>
          <w:sz w:val="22"/>
          <w:szCs w:val="22"/>
        </w:rPr>
        <w:tab/>
        <w:t>Join, gather, unite.</w:t>
      </w:r>
    </w:p>
    <w:p w14:paraId="2AE7952B" w14:textId="77777777" w:rsidR="00433B5E" w:rsidRPr="00214513" w:rsidRDefault="00433B5E" w:rsidP="00951306">
      <w:pPr>
        <w:spacing w:line="312" w:lineRule="auto"/>
        <w:rPr>
          <w:sz w:val="22"/>
          <w:szCs w:val="22"/>
        </w:rPr>
      </w:pPr>
    </w:p>
    <w:p w14:paraId="446717A7" w14:textId="53F2FAEF" w:rsidR="00E56A79" w:rsidRPr="00214513" w:rsidRDefault="00E56A79" w:rsidP="00951306">
      <w:pPr>
        <w:pStyle w:val="Heading2"/>
        <w:spacing w:line="312" w:lineRule="auto"/>
        <w:rPr>
          <w:sz w:val="24"/>
          <w:szCs w:val="24"/>
        </w:rPr>
      </w:pPr>
      <w:r w:rsidRPr="00214513">
        <w:rPr>
          <w:sz w:val="24"/>
          <w:szCs w:val="24"/>
        </w:rPr>
        <w:t>Whaikaha sought to improve our understanding of the impacts of COVID-19 on people receiving DSS</w:t>
      </w:r>
      <w:r w:rsidR="5404E061" w:rsidRPr="00214513">
        <w:rPr>
          <w:sz w:val="24"/>
          <w:szCs w:val="24"/>
        </w:rPr>
        <w:t xml:space="preserve"> (43,000 disabled people)</w:t>
      </w:r>
    </w:p>
    <w:p w14:paraId="050B5746" w14:textId="77777777" w:rsidR="00E56A79" w:rsidRPr="00214513" w:rsidRDefault="00E56A79" w:rsidP="001D7F1C">
      <w:pPr>
        <w:pStyle w:val="RecLevel1"/>
        <w:numPr>
          <w:ilvl w:val="0"/>
          <w:numId w:val="0"/>
        </w:numPr>
        <w:pBdr>
          <w:top w:val="none" w:sz="0" w:space="0" w:color="auto"/>
          <w:left w:val="none" w:sz="0" w:space="0" w:color="auto"/>
          <w:bottom w:val="none" w:sz="0" w:space="0" w:color="auto"/>
          <w:right w:val="none" w:sz="0" w:space="0" w:color="auto"/>
          <w:between w:val="none" w:sz="0" w:space="0" w:color="auto"/>
        </w:pBdr>
        <w:suppressAutoHyphens w:val="0"/>
        <w:autoSpaceDE/>
        <w:autoSpaceDN/>
        <w:adjustRightInd/>
        <w:spacing w:line="312" w:lineRule="auto"/>
        <w:jc w:val="left"/>
        <w:textAlignment w:val="auto"/>
      </w:pPr>
      <w:r w:rsidRPr="00214513">
        <w:t xml:space="preserve">Whaikaha analysis of COVID-19 outcomes focused on the exploration of patterns and risk for DSS clients. DSS clients are more likely to have support needs that require close contact from support workers or family carers, reducing the ability to physically distance as a COVID-19 protective measure and thereby increasing risk. </w:t>
      </w:r>
    </w:p>
    <w:p w14:paraId="6DB562AC" w14:textId="0186B7AA" w:rsidR="00E56A79" w:rsidRPr="00214513" w:rsidRDefault="00E56A79" w:rsidP="001D7F1C">
      <w:pPr>
        <w:pStyle w:val="RecLevel1"/>
        <w:numPr>
          <w:ilvl w:val="0"/>
          <w:numId w:val="0"/>
        </w:numPr>
        <w:pBdr>
          <w:top w:val="none" w:sz="0" w:space="0" w:color="auto"/>
          <w:left w:val="none" w:sz="0" w:space="0" w:color="auto"/>
          <w:bottom w:val="none" w:sz="0" w:space="0" w:color="auto"/>
          <w:right w:val="none" w:sz="0" w:space="0" w:color="auto"/>
          <w:between w:val="none" w:sz="0" w:space="0" w:color="auto"/>
        </w:pBdr>
        <w:suppressAutoHyphens w:val="0"/>
        <w:autoSpaceDE/>
        <w:autoSpaceDN/>
        <w:adjustRightInd/>
        <w:spacing w:line="312" w:lineRule="auto"/>
        <w:jc w:val="left"/>
        <w:textAlignment w:val="auto"/>
      </w:pPr>
      <w:r w:rsidRPr="00214513">
        <w:t xml:space="preserve">We wanted to understand the COVID-19 outcomes for both </w:t>
      </w:r>
      <w:r w:rsidR="2A5155F5" w:rsidRPr="00214513">
        <w:t xml:space="preserve">groups of </w:t>
      </w:r>
      <w:r w:rsidRPr="00214513">
        <w:t>DSS clients who receive residential or non-residential support</w:t>
      </w:r>
      <w:r w:rsidRPr="00214513">
        <w:rPr>
          <w:rStyle w:val="FootnoteReference"/>
          <w:sz w:val="22"/>
          <w:szCs w:val="22"/>
        </w:rPr>
        <w:footnoteReference w:id="2"/>
      </w:r>
      <w:r w:rsidR="10094F85" w:rsidRPr="00214513">
        <w:t xml:space="preserve"> </w:t>
      </w:r>
    </w:p>
    <w:p w14:paraId="488F00D2" w14:textId="77777777" w:rsidR="00E56A79" w:rsidRPr="00214513" w:rsidRDefault="00E56A79" w:rsidP="001D7F1C">
      <w:pPr>
        <w:pStyle w:val="RecLevel1"/>
        <w:numPr>
          <w:ilvl w:val="0"/>
          <w:numId w:val="0"/>
        </w:numPr>
        <w:pBdr>
          <w:top w:val="none" w:sz="0" w:space="0" w:color="auto"/>
          <w:left w:val="none" w:sz="0" w:space="0" w:color="auto"/>
          <w:bottom w:val="none" w:sz="0" w:space="0" w:color="auto"/>
          <w:right w:val="none" w:sz="0" w:space="0" w:color="auto"/>
          <w:between w:val="none" w:sz="0" w:space="0" w:color="auto"/>
        </w:pBdr>
        <w:suppressAutoHyphens w:val="0"/>
        <w:autoSpaceDE/>
        <w:autoSpaceDN/>
        <w:adjustRightInd/>
        <w:spacing w:line="312" w:lineRule="auto"/>
        <w:jc w:val="left"/>
        <w:textAlignment w:val="auto"/>
      </w:pPr>
      <w:r w:rsidRPr="00214513">
        <w:t>Residential support provider organisations vary in size from a single residence with fewer than five people to large homes and groups of small homes or flats to organisations that coordinate multiple residences across the country. Larger facilities can also operate several specialist services, particularly supporting people with significant physical and medical needs</w:t>
      </w:r>
    </w:p>
    <w:p w14:paraId="492018C0" w14:textId="77777777" w:rsidR="00E56A79" w:rsidRPr="00214513" w:rsidRDefault="00E56A79" w:rsidP="001D7F1C">
      <w:pPr>
        <w:pStyle w:val="RecLevel1"/>
        <w:numPr>
          <w:ilvl w:val="0"/>
          <w:numId w:val="0"/>
        </w:numPr>
        <w:pBdr>
          <w:top w:val="none" w:sz="0" w:space="0" w:color="auto"/>
          <w:left w:val="none" w:sz="0" w:space="0" w:color="auto"/>
          <w:bottom w:val="none" w:sz="0" w:space="0" w:color="auto"/>
          <w:right w:val="none" w:sz="0" w:space="0" w:color="auto"/>
          <w:between w:val="none" w:sz="0" w:space="0" w:color="auto"/>
        </w:pBdr>
        <w:suppressAutoHyphens w:val="0"/>
        <w:autoSpaceDE/>
        <w:autoSpaceDN/>
        <w:adjustRightInd/>
        <w:spacing w:line="312" w:lineRule="auto"/>
        <w:jc w:val="left"/>
        <w:textAlignment w:val="auto"/>
      </w:pPr>
      <w:r w:rsidRPr="00214513">
        <w:t>DSS clients receiving residential support (approximately 15 – 20 percent of all DSS recipients) are more likely to have particularly complex needs or co-morbidities, which may make them more susceptible to COVID-19 than DSS clients who receive non-residential support.</w:t>
      </w:r>
    </w:p>
    <w:p w14:paraId="76F82B88" w14:textId="77777777" w:rsidR="006C5798" w:rsidRPr="00214513" w:rsidRDefault="006C5798" w:rsidP="001D7F1C">
      <w:pPr>
        <w:pStyle w:val="RecLevel1"/>
        <w:numPr>
          <w:ilvl w:val="0"/>
          <w:numId w:val="0"/>
        </w:numPr>
        <w:pBdr>
          <w:top w:val="none" w:sz="0" w:space="0" w:color="auto"/>
          <w:left w:val="none" w:sz="0" w:space="0" w:color="auto"/>
          <w:bottom w:val="none" w:sz="0" w:space="0" w:color="auto"/>
          <w:right w:val="none" w:sz="0" w:space="0" w:color="auto"/>
          <w:between w:val="none" w:sz="0" w:space="0" w:color="auto"/>
        </w:pBdr>
        <w:suppressAutoHyphens w:val="0"/>
        <w:autoSpaceDE/>
        <w:autoSpaceDN/>
        <w:adjustRightInd/>
        <w:spacing w:line="312" w:lineRule="auto"/>
        <w:jc w:val="left"/>
        <w:textAlignment w:val="auto"/>
      </w:pPr>
    </w:p>
    <w:p w14:paraId="1E6327F2" w14:textId="77777777" w:rsidR="006C5798" w:rsidRPr="00214513" w:rsidRDefault="006C5798" w:rsidP="001D7F1C">
      <w:pPr>
        <w:pStyle w:val="RecLevel1"/>
        <w:numPr>
          <w:ilvl w:val="0"/>
          <w:numId w:val="0"/>
        </w:numPr>
        <w:pBdr>
          <w:top w:val="none" w:sz="0" w:space="0" w:color="auto"/>
          <w:left w:val="none" w:sz="0" w:space="0" w:color="auto"/>
          <w:bottom w:val="none" w:sz="0" w:space="0" w:color="auto"/>
          <w:right w:val="none" w:sz="0" w:space="0" w:color="auto"/>
          <w:between w:val="none" w:sz="0" w:space="0" w:color="auto"/>
        </w:pBdr>
        <w:suppressAutoHyphens w:val="0"/>
        <w:autoSpaceDE/>
        <w:autoSpaceDN/>
        <w:adjustRightInd/>
        <w:spacing w:line="312" w:lineRule="auto"/>
        <w:jc w:val="left"/>
        <w:textAlignment w:val="auto"/>
      </w:pPr>
    </w:p>
    <w:p w14:paraId="68C9CCC8" w14:textId="77777777" w:rsidR="006C5798" w:rsidRPr="00214513" w:rsidRDefault="006C5798" w:rsidP="001D7F1C">
      <w:pPr>
        <w:pStyle w:val="RecLevel1"/>
        <w:numPr>
          <w:ilvl w:val="0"/>
          <w:numId w:val="0"/>
        </w:numPr>
        <w:pBdr>
          <w:top w:val="none" w:sz="0" w:space="0" w:color="auto"/>
          <w:left w:val="none" w:sz="0" w:space="0" w:color="auto"/>
          <w:bottom w:val="none" w:sz="0" w:space="0" w:color="auto"/>
          <w:right w:val="none" w:sz="0" w:space="0" w:color="auto"/>
          <w:between w:val="none" w:sz="0" w:space="0" w:color="auto"/>
        </w:pBdr>
        <w:suppressAutoHyphens w:val="0"/>
        <w:autoSpaceDE/>
        <w:autoSpaceDN/>
        <w:adjustRightInd/>
        <w:spacing w:line="312" w:lineRule="auto"/>
        <w:jc w:val="left"/>
        <w:textAlignment w:val="auto"/>
      </w:pPr>
    </w:p>
    <w:p w14:paraId="6B428496" w14:textId="7156CA9A" w:rsidR="00E56A79" w:rsidRPr="00214513" w:rsidRDefault="00E56A79" w:rsidP="00951306">
      <w:pPr>
        <w:pStyle w:val="Heading3"/>
        <w:spacing w:line="312" w:lineRule="auto"/>
      </w:pPr>
      <w:r w:rsidRPr="00214513">
        <w:t xml:space="preserve">Table: COVID-19 outcomes for </w:t>
      </w:r>
      <w:r w:rsidR="50EBFC5A" w:rsidRPr="00214513">
        <w:t xml:space="preserve">43,000 </w:t>
      </w:r>
      <w:r w:rsidRPr="00214513">
        <w:t>DSS clients compared to the rest of the New Zealand population over the period of 01 January 2022 – 16 November 2022</w:t>
      </w:r>
    </w:p>
    <w:tbl>
      <w:tblPr>
        <w:tblStyle w:val="TableGrid"/>
        <w:tblW w:w="0" w:type="auto"/>
        <w:tblLook w:val="04A0" w:firstRow="1" w:lastRow="0" w:firstColumn="1" w:lastColumn="0" w:noHBand="0" w:noVBand="1"/>
      </w:tblPr>
      <w:tblGrid>
        <w:gridCol w:w="2254"/>
        <w:gridCol w:w="2254"/>
        <w:gridCol w:w="2254"/>
        <w:gridCol w:w="2254"/>
      </w:tblGrid>
      <w:tr w:rsidR="00E56A79" w:rsidRPr="00214513" w14:paraId="2931FCC8" w14:textId="77777777" w:rsidTr="00E56A79">
        <w:tc>
          <w:tcPr>
            <w:tcW w:w="2254" w:type="dxa"/>
          </w:tcPr>
          <w:p w14:paraId="2790781A" w14:textId="77777777" w:rsidR="00E56A79" w:rsidRPr="00214513" w:rsidRDefault="00E56A79" w:rsidP="00951306">
            <w:pPr>
              <w:spacing w:line="312" w:lineRule="auto"/>
            </w:pPr>
          </w:p>
        </w:tc>
        <w:tc>
          <w:tcPr>
            <w:tcW w:w="2254" w:type="dxa"/>
          </w:tcPr>
          <w:p w14:paraId="6C5C3590" w14:textId="3AEAC23A" w:rsidR="00E56A79" w:rsidRPr="00214513" w:rsidRDefault="00E56A79" w:rsidP="00951306">
            <w:pPr>
              <w:spacing w:line="312" w:lineRule="auto"/>
            </w:pPr>
            <w:r w:rsidRPr="00214513">
              <w:t>COVID-19 Positive</w:t>
            </w:r>
          </w:p>
        </w:tc>
        <w:tc>
          <w:tcPr>
            <w:tcW w:w="2254" w:type="dxa"/>
          </w:tcPr>
          <w:p w14:paraId="287FD764" w14:textId="625D1FAD" w:rsidR="00E56A79" w:rsidRPr="00214513" w:rsidRDefault="00E56A79" w:rsidP="00951306">
            <w:pPr>
              <w:spacing w:line="312" w:lineRule="auto"/>
            </w:pPr>
            <w:r w:rsidRPr="00214513">
              <w:rPr>
                <w:b/>
                <w:sz w:val="22"/>
                <w:szCs w:val="22"/>
              </w:rPr>
              <w:t>Admitted to hospital</w:t>
            </w:r>
            <w:r w:rsidRPr="00214513">
              <w:rPr>
                <w:rStyle w:val="FootnoteReference"/>
                <w:sz w:val="22"/>
                <w:szCs w:val="22"/>
              </w:rPr>
              <w:footnoteReference w:id="3"/>
            </w:r>
            <w:r w:rsidRPr="00214513">
              <w:rPr>
                <w:b/>
                <w:sz w:val="22"/>
                <w:szCs w:val="22"/>
              </w:rPr>
              <w:t xml:space="preserve"> with COVID-19</w:t>
            </w:r>
          </w:p>
        </w:tc>
        <w:tc>
          <w:tcPr>
            <w:tcW w:w="2254" w:type="dxa"/>
          </w:tcPr>
          <w:p w14:paraId="4B76D764" w14:textId="357F1597" w:rsidR="00E56A79" w:rsidRPr="00214513" w:rsidRDefault="00E56A79" w:rsidP="00951306">
            <w:pPr>
              <w:spacing w:line="312" w:lineRule="auto"/>
            </w:pPr>
            <w:r w:rsidRPr="00214513">
              <w:rPr>
                <w:b/>
                <w:sz w:val="22"/>
                <w:szCs w:val="22"/>
              </w:rPr>
              <w:t>Died of or with COVID-19</w:t>
            </w:r>
          </w:p>
        </w:tc>
      </w:tr>
      <w:tr w:rsidR="00E56A79" w:rsidRPr="00214513" w14:paraId="59D85076" w14:textId="77777777" w:rsidTr="00E56A79">
        <w:tc>
          <w:tcPr>
            <w:tcW w:w="2254" w:type="dxa"/>
          </w:tcPr>
          <w:p w14:paraId="07339E9E" w14:textId="77777777" w:rsidR="00E56A79" w:rsidRPr="00214513" w:rsidRDefault="00E56A79" w:rsidP="00951306">
            <w:pPr>
              <w:spacing w:line="312" w:lineRule="auto"/>
              <w:rPr>
                <w:rFonts w:cstheme="minorHAnsi"/>
                <w:sz w:val="22"/>
                <w:szCs w:val="22"/>
                <w:lang w:val="mi-NZ"/>
              </w:rPr>
            </w:pPr>
            <w:r w:rsidRPr="00214513">
              <w:rPr>
                <w:rFonts w:cstheme="minorHAnsi"/>
                <w:sz w:val="22"/>
                <w:szCs w:val="22"/>
              </w:rPr>
              <w:t xml:space="preserve">All DSS Clients </w:t>
            </w:r>
          </w:p>
          <w:p w14:paraId="7DBB5C3E" w14:textId="6258D196" w:rsidR="00E56A79" w:rsidRPr="00214513" w:rsidRDefault="00E56A79" w:rsidP="00951306">
            <w:pPr>
              <w:spacing w:line="312" w:lineRule="auto"/>
            </w:pPr>
            <w:r w:rsidRPr="00214513">
              <w:rPr>
                <w:rFonts w:cstheme="minorHAnsi"/>
                <w:sz w:val="22"/>
                <w:szCs w:val="22"/>
              </w:rPr>
              <w:t>(approx. 43,000)</w:t>
            </w:r>
          </w:p>
        </w:tc>
        <w:tc>
          <w:tcPr>
            <w:tcW w:w="2254" w:type="dxa"/>
          </w:tcPr>
          <w:p w14:paraId="046D5E8F" w14:textId="77777777" w:rsidR="00E56A79" w:rsidRPr="00214513" w:rsidRDefault="00E56A79" w:rsidP="00951306">
            <w:pPr>
              <w:spacing w:line="312" w:lineRule="auto"/>
              <w:rPr>
                <w:rFonts w:cstheme="minorHAnsi"/>
                <w:sz w:val="22"/>
                <w:szCs w:val="22"/>
              </w:rPr>
            </w:pPr>
            <w:r w:rsidRPr="00214513">
              <w:rPr>
                <w:rFonts w:eastAsia="Calibri" w:cstheme="minorHAnsi"/>
                <w:sz w:val="22"/>
                <w:szCs w:val="22"/>
              </w:rPr>
              <w:t>9% less likely</w:t>
            </w:r>
          </w:p>
          <w:p w14:paraId="17CEC3B1" w14:textId="72D1391C" w:rsidR="00E56A79" w:rsidRPr="00214513" w:rsidRDefault="00E56A79" w:rsidP="00951306">
            <w:pPr>
              <w:spacing w:line="312" w:lineRule="auto"/>
            </w:pPr>
            <w:r w:rsidRPr="00214513">
              <w:rPr>
                <w:rFonts w:eastAsia="Calibri" w:cstheme="minorHAnsi"/>
                <w:sz w:val="22"/>
                <w:szCs w:val="22"/>
                <w:lang w:val="mi-NZ"/>
              </w:rPr>
              <w:t xml:space="preserve">(13,879 </w:t>
            </w:r>
            <w:r w:rsidRPr="00214513">
              <w:rPr>
                <w:rFonts w:eastAsia="Calibri" w:cstheme="minorHAnsi"/>
                <w:sz w:val="22"/>
                <w:szCs w:val="22"/>
              </w:rPr>
              <w:t>people</w:t>
            </w:r>
            <w:r w:rsidRPr="00214513">
              <w:rPr>
                <w:rFonts w:eastAsia="Calibri" w:cstheme="minorHAnsi"/>
                <w:sz w:val="22"/>
                <w:szCs w:val="22"/>
                <w:lang w:val="mi-NZ"/>
              </w:rPr>
              <w:t>)</w:t>
            </w:r>
          </w:p>
        </w:tc>
        <w:tc>
          <w:tcPr>
            <w:tcW w:w="2254" w:type="dxa"/>
          </w:tcPr>
          <w:p w14:paraId="5F88EAF8" w14:textId="77777777" w:rsidR="00E56A79" w:rsidRPr="00214513" w:rsidRDefault="00E56A79" w:rsidP="00951306">
            <w:pPr>
              <w:spacing w:line="312" w:lineRule="auto"/>
              <w:rPr>
                <w:rFonts w:cstheme="minorHAnsi"/>
                <w:sz w:val="22"/>
                <w:szCs w:val="22"/>
              </w:rPr>
            </w:pPr>
            <w:r w:rsidRPr="00214513">
              <w:rPr>
                <w:rFonts w:eastAsia="Calibri" w:cstheme="minorHAnsi"/>
                <w:sz w:val="22"/>
                <w:szCs w:val="22"/>
              </w:rPr>
              <w:t>4.2 times more likely</w:t>
            </w:r>
          </w:p>
          <w:p w14:paraId="723618DE" w14:textId="22AB196B" w:rsidR="00E56A79" w:rsidRPr="00214513" w:rsidRDefault="00E56A79" w:rsidP="00951306">
            <w:pPr>
              <w:spacing w:line="312" w:lineRule="auto"/>
            </w:pPr>
            <w:r w:rsidRPr="00214513">
              <w:rPr>
                <w:rFonts w:eastAsia="Calibri" w:cstheme="minorHAnsi"/>
                <w:sz w:val="22"/>
                <w:szCs w:val="22"/>
              </w:rPr>
              <w:t>(409 people)</w:t>
            </w:r>
          </w:p>
        </w:tc>
        <w:tc>
          <w:tcPr>
            <w:tcW w:w="2254" w:type="dxa"/>
          </w:tcPr>
          <w:p w14:paraId="18FAD1E0" w14:textId="77777777" w:rsidR="00E56A79" w:rsidRPr="00214513" w:rsidRDefault="00E56A79" w:rsidP="00951306">
            <w:pPr>
              <w:spacing w:line="312" w:lineRule="auto"/>
              <w:rPr>
                <w:rFonts w:cstheme="minorHAnsi"/>
                <w:sz w:val="22"/>
                <w:szCs w:val="22"/>
              </w:rPr>
            </w:pPr>
            <w:r w:rsidRPr="00214513">
              <w:rPr>
                <w:rFonts w:eastAsia="Calibri" w:cstheme="minorHAnsi"/>
                <w:sz w:val="22"/>
                <w:szCs w:val="22"/>
              </w:rPr>
              <w:t>13 times more likely</w:t>
            </w:r>
          </w:p>
          <w:p w14:paraId="2064E600" w14:textId="69523419" w:rsidR="00E56A79" w:rsidRPr="00214513" w:rsidRDefault="00E56A79" w:rsidP="00951306">
            <w:pPr>
              <w:spacing w:line="312" w:lineRule="auto"/>
            </w:pPr>
            <w:r w:rsidRPr="00214513">
              <w:rPr>
                <w:rFonts w:eastAsia="Calibri" w:cstheme="minorHAnsi"/>
                <w:sz w:val="22"/>
                <w:szCs w:val="22"/>
                <w:lang w:val="mi-NZ"/>
              </w:rPr>
              <w:t xml:space="preserve">(27 </w:t>
            </w:r>
            <w:r w:rsidRPr="00214513">
              <w:rPr>
                <w:rFonts w:eastAsia="Calibri" w:cstheme="minorHAnsi"/>
                <w:sz w:val="22"/>
                <w:szCs w:val="22"/>
              </w:rPr>
              <w:t>people</w:t>
            </w:r>
            <w:r w:rsidRPr="00214513">
              <w:rPr>
                <w:rFonts w:eastAsia="Calibri" w:cstheme="minorHAnsi"/>
                <w:sz w:val="22"/>
                <w:szCs w:val="22"/>
                <w:lang w:val="mi-NZ"/>
              </w:rPr>
              <w:t>)</w:t>
            </w:r>
          </w:p>
        </w:tc>
      </w:tr>
      <w:tr w:rsidR="00E56A79" w:rsidRPr="00214513" w14:paraId="6576703C" w14:textId="77777777" w:rsidTr="00E56A79">
        <w:tc>
          <w:tcPr>
            <w:tcW w:w="2254" w:type="dxa"/>
          </w:tcPr>
          <w:p w14:paraId="11A585FE" w14:textId="77777777" w:rsidR="00E56A79" w:rsidRPr="00214513" w:rsidRDefault="00E56A79" w:rsidP="00951306">
            <w:pPr>
              <w:spacing w:line="312" w:lineRule="auto"/>
              <w:rPr>
                <w:rFonts w:cstheme="minorHAnsi"/>
                <w:sz w:val="22"/>
                <w:szCs w:val="22"/>
              </w:rPr>
            </w:pPr>
            <w:r w:rsidRPr="00214513">
              <w:rPr>
                <w:rFonts w:cstheme="minorHAnsi"/>
                <w:sz w:val="22"/>
                <w:szCs w:val="22"/>
              </w:rPr>
              <w:t>Non-residential support</w:t>
            </w:r>
          </w:p>
          <w:p w14:paraId="5A939D20" w14:textId="77777777" w:rsidR="00E56A79" w:rsidRPr="00214513" w:rsidRDefault="00E56A79" w:rsidP="00951306">
            <w:pPr>
              <w:spacing w:line="312" w:lineRule="auto"/>
            </w:pPr>
          </w:p>
        </w:tc>
        <w:tc>
          <w:tcPr>
            <w:tcW w:w="2254" w:type="dxa"/>
          </w:tcPr>
          <w:p w14:paraId="16120BC3" w14:textId="77777777" w:rsidR="00E56A79" w:rsidRPr="00214513" w:rsidRDefault="00E56A79" w:rsidP="00951306">
            <w:pPr>
              <w:spacing w:line="312" w:lineRule="auto"/>
              <w:rPr>
                <w:rFonts w:cstheme="minorHAnsi"/>
                <w:sz w:val="22"/>
                <w:szCs w:val="22"/>
                <w:lang w:val="mi-NZ"/>
              </w:rPr>
            </w:pPr>
            <w:r w:rsidRPr="00214513">
              <w:rPr>
                <w:rFonts w:cstheme="minorHAnsi"/>
                <w:sz w:val="22"/>
                <w:szCs w:val="22"/>
              </w:rPr>
              <w:t xml:space="preserve">16% less likely </w:t>
            </w:r>
          </w:p>
          <w:p w14:paraId="6BFFC1CB" w14:textId="4D59EAF1" w:rsidR="00E56A79" w:rsidRPr="00214513" w:rsidRDefault="00E56A79" w:rsidP="00951306">
            <w:pPr>
              <w:spacing w:line="312" w:lineRule="auto"/>
            </w:pPr>
            <w:r w:rsidRPr="00214513">
              <w:rPr>
                <w:rFonts w:cstheme="minorHAnsi"/>
                <w:sz w:val="22"/>
                <w:szCs w:val="22"/>
                <w:lang w:val="mi-NZ"/>
              </w:rPr>
              <w:t xml:space="preserve">(10,818 </w:t>
            </w:r>
            <w:r w:rsidRPr="00214513">
              <w:rPr>
                <w:rFonts w:eastAsia="Calibri" w:cstheme="minorHAnsi"/>
                <w:sz w:val="22"/>
                <w:szCs w:val="22"/>
              </w:rPr>
              <w:t>people</w:t>
            </w:r>
            <w:r w:rsidRPr="00214513">
              <w:rPr>
                <w:rFonts w:cstheme="minorHAnsi"/>
                <w:sz w:val="22"/>
                <w:szCs w:val="22"/>
                <w:lang w:val="mi-NZ"/>
              </w:rPr>
              <w:t>)</w:t>
            </w:r>
          </w:p>
        </w:tc>
        <w:tc>
          <w:tcPr>
            <w:tcW w:w="2254" w:type="dxa"/>
          </w:tcPr>
          <w:p w14:paraId="0D96F4BF" w14:textId="77777777" w:rsidR="00E56A79" w:rsidRPr="00214513" w:rsidRDefault="00E56A79" w:rsidP="00951306">
            <w:pPr>
              <w:spacing w:line="312" w:lineRule="auto"/>
              <w:rPr>
                <w:rFonts w:cstheme="minorHAnsi"/>
                <w:sz w:val="22"/>
                <w:szCs w:val="22"/>
                <w:lang w:val="mi-NZ"/>
              </w:rPr>
            </w:pPr>
            <w:r w:rsidRPr="00214513">
              <w:rPr>
                <w:rFonts w:cstheme="minorHAnsi"/>
                <w:sz w:val="22"/>
                <w:szCs w:val="22"/>
              </w:rPr>
              <w:t>3.5 times more likely</w:t>
            </w:r>
          </w:p>
          <w:p w14:paraId="4DBA7B89" w14:textId="73380B04" w:rsidR="00E56A79" w:rsidRPr="00214513" w:rsidRDefault="00E56A79" w:rsidP="00951306">
            <w:pPr>
              <w:spacing w:line="312" w:lineRule="auto"/>
            </w:pPr>
            <w:r w:rsidRPr="00214513">
              <w:rPr>
                <w:rFonts w:cstheme="minorHAnsi"/>
                <w:sz w:val="22"/>
                <w:szCs w:val="22"/>
              </w:rPr>
              <w:t xml:space="preserve">(281 </w:t>
            </w:r>
            <w:r w:rsidRPr="00214513">
              <w:rPr>
                <w:rFonts w:eastAsia="Calibri" w:cstheme="minorHAnsi"/>
                <w:sz w:val="22"/>
                <w:szCs w:val="22"/>
              </w:rPr>
              <w:t>people)</w:t>
            </w:r>
          </w:p>
        </w:tc>
        <w:tc>
          <w:tcPr>
            <w:tcW w:w="2254" w:type="dxa"/>
          </w:tcPr>
          <w:p w14:paraId="480B8B2B" w14:textId="77777777" w:rsidR="00E56A79" w:rsidRPr="00214513" w:rsidRDefault="00E56A79" w:rsidP="00951306">
            <w:pPr>
              <w:spacing w:line="312" w:lineRule="auto"/>
              <w:rPr>
                <w:rFonts w:cstheme="minorHAnsi"/>
                <w:sz w:val="22"/>
                <w:szCs w:val="22"/>
                <w:lang w:val="mi-NZ"/>
              </w:rPr>
            </w:pPr>
            <w:r w:rsidRPr="00214513">
              <w:rPr>
                <w:rFonts w:cstheme="minorHAnsi"/>
                <w:sz w:val="22"/>
                <w:szCs w:val="22"/>
              </w:rPr>
              <w:t>7 times more likely</w:t>
            </w:r>
          </w:p>
          <w:p w14:paraId="06221B1A" w14:textId="7DE6CE0E" w:rsidR="00E56A79" w:rsidRPr="00214513" w:rsidRDefault="00E56A79" w:rsidP="00951306">
            <w:pPr>
              <w:spacing w:line="312" w:lineRule="auto"/>
            </w:pPr>
            <w:r w:rsidRPr="00214513">
              <w:rPr>
                <w:rFonts w:cstheme="minorBidi"/>
                <w:sz w:val="22"/>
                <w:szCs w:val="22"/>
                <w:lang w:val="mi-NZ"/>
              </w:rPr>
              <w:t xml:space="preserve">(11 </w:t>
            </w:r>
            <w:r w:rsidRPr="00214513">
              <w:rPr>
                <w:rFonts w:eastAsia="Calibri" w:cstheme="minorBidi"/>
                <w:sz w:val="22"/>
                <w:szCs w:val="22"/>
              </w:rPr>
              <w:t>people</w:t>
            </w:r>
            <w:r w:rsidRPr="00214513">
              <w:rPr>
                <w:rFonts w:cstheme="minorBidi"/>
                <w:sz w:val="22"/>
                <w:szCs w:val="22"/>
                <w:lang w:val="mi-NZ"/>
              </w:rPr>
              <w:t>)</w:t>
            </w:r>
          </w:p>
        </w:tc>
      </w:tr>
      <w:tr w:rsidR="00E56A79" w:rsidRPr="00214513" w14:paraId="330A7D41" w14:textId="77777777" w:rsidTr="00E56A79">
        <w:tc>
          <w:tcPr>
            <w:tcW w:w="2254" w:type="dxa"/>
          </w:tcPr>
          <w:p w14:paraId="1A7BDC56" w14:textId="77777777" w:rsidR="00E56A79" w:rsidRPr="00214513" w:rsidRDefault="00E56A79" w:rsidP="00951306">
            <w:pPr>
              <w:spacing w:line="312" w:lineRule="auto"/>
              <w:rPr>
                <w:rFonts w:cstheme="minorHAnsi"/>
                <w:sz w:val="22"/>
                <w:szCs w:val="22"/>
              </w:rPr>
            </w:pPr>
            <w:r w:rsidRPr="00214513">
              <w:rPr>
                <w:rFonts w:cstheme="minorHAnsi"/>
                <w:sz w:val="22"/>
                <w:szCs w:val="22"/>
              </w:rPr>
              <w:t>Residential support</w:t>
            </w:r>
          </w:p>
          <w:p w14:paraId="0BBCAC0E" w14:textId="77777777" w:rsidR="00E56A79" w:rsidRPr="00214513" w:rsidRDefault="00E56A79" w:rsidP="00951306">
            <w:pPr>
              <w:spacing w:line="312" w:lineRule="auto"/>
            </w:pPr>
          </w:p>
        </w:tc>
        <w:tc>
          <w:tcPr>
            <w:tcW w:w="2254" w:type="dxa"/>
          </w:tcPr>
          <w:p w14:paraId="1CC07C6D" w14:textId="77777777" w:rsidR="00E56A79" w:rsidRPr="00214513" w:rsidRDefault="00E56A79" w:rsidP="00951306">
            <w:pPr>
              <w:spacing w:line="312" w:lineRule="auto"/>
              <w:rPr>
                <w:rFonts w:cstheme="minorHAnsi"/>
                <w:sz w:val="22"/>
                <w:szCs w:val="22"/>
                <w:lang w:val="mi-NZ"/>
              </w:rPr>
            </w:pPr>
            <w:r w:rsidRPr="00214513">
              <w:rPr>
                <w:rFonts w:cstheme="minorHAnsi"/>
                <w:sz w:val="22"/>
                <w:szCs w:val="22"/>
              </w:rPr>
              <w:t>19% more likely</w:t>
            </w:r>
          </w:p>
          <w:p w14:paraId="60214B08" w14:textId="1F722962" w:rsidR="00E56A79" w:rsidRPr="00214513" w:rsidRDefault="00E56A79" w:rsidP="00951306">
            <w:pPr>
              <w:spacing w:line="312" w:lineRule="auto"/>
            </w:pPr>
            <w:r w:rsidRPr="00214513">
              <w:rPr>
                <w:rFonts w:cstheme="minorHAnsi"/>
                <w:sz w:val="22"/>
                <w:szCs w:val="22"/>
              </w:rPr>
              <w:t xml:space="preserve">(3,061 </w:t>
            </w:r>
            <w:r w:rsidRPr="00214513">
              <w:rPr>
                <w:rFonts w:eastAsia="Calibri" w:cstheme="minorHAnsi"/>
                <w:sz w:val="22"/>
                <w:szCs w:val="22"/>
              </w:rPr>
              <w:t>people</w:t>
            </w:r>
            <w:r w:rsidRPr="00214513">
              <w:rPr>
                <w:rFonts w:cstheme="minorHAnsi"/>
                <w:sz w:val="22"/>
                <w:szCs w:val="22"/>
              </w:rPr>
              <w:t>)</w:t>
            </w:r>
          </w:p>
        </w:tc>
        <w:tc>
          <w:tcPr>
            <w:tcW w:w="2254" w:type="dxa"/>
          </w:tcPr>
          <w:p w14:paraId="79AA4886" w14:textId="77777777" w:rsidR="00E56A79" w:rsidRPr="00214513" w:rsidRDefault="00E56A79" w:rsidP="00951306">
            <w:pPr>
              <w:spacing w:line="312" w:lineRule="auto"/>
              <w:rPr>
                <w:rFonts w:cstheme="minorHAnsi"/>
                <w:sz w:val="22"/>
                <w:szCs w:val="22"/>
                <w:lang w:val="mi-NZ"/>
              </w:rPr>
            </w:pPr>
            <w:r w:rsidRPr="00214513">
              <w:rPr>
                <w:rFonts w:cstheme="minorHAnsi"/>
                <w:sz w:val="22"/>
                <w:szCs w:val="22"/>
              </w:rPr>
              <w:t>8 times more likely</w:t>
            </w:r>
          </w:p>
          <w:p w14:paraId="784869B7" w14:textId="14AD382A" w:rsidR="00E56A79" w:rsidRPr="00214513" w:rsidRDefault="00E56A79" w:rsidP="00951306">
            <w:pPr>
              <w:spacing w:line="312" w:lineRule="auto"/>
            </w:pPr>
            <w:r w:rsidRPr="00214513">
              <w:rPr>
                <w:rFonts w:cstheme="minorHAnsi"/>
                <w:sz w:val="22"/>
                <w:szCs w:val="22"/>
              </w:rPr>
              <w:t xml:space="preserve">(128 </w:t>
            </w:r>
            <w:r w:rsidRPr="00214513">
              <w:rPr>
                <w:rFonts w:eastAsia="Calibri" w:cstheme="minorHAnsi"/>
                <w:sz w:val="22"/>
                <w:szCs w:val="22"/>
              </w:rPr>
              <w:t>people)</w:t>
            </w:r>
          </w:p>
        </w:tc>
        <w:tc>
          <w:tcPr>
            <w:tcW w:w="2254" w:type="dxa"/>
          </w:tcPr>
          <w:p w14:paraId="545063EC" w14:textId="77777777" w:rsidR="00E56A79" w:rsidRPr="00214513" w:rsidRDefault="00E56A79" w:rsidP="00951306">
            <w:pPr>
              <w:spacing w:line="312" w:lineRule="auto"/>
              <w:rPr>
                <w:rFonts w:cstheme="minorHAnsi"/>
                <w:sz w:val="22"/>
                <w:szCs w:val="22"/>
                <w:lang w:val="mi-NZ"/>
              </w:rPr>
            </w:pPr>
            <w:r w:rsidRPr="00214513">
              <w:rPr>
                <w:rFonts w:cstheme="minorHAnsi"/>
                <w:sz w:val="22"/>
                <w:szCs w:val="22"/>
              </w:rPr>
              <w:t>47 times more likely</w:t>
            </w:r>
          </w:p>
          <w:p w14:paraId="0D0C7C55" w14:textId="2B162535" w:rsidR="00E56A79" w:rsidRPr="00214513" w:rsidRDefault="00E56A79" w:rsidP="00951306">
            <w:pPr>
              <w:spacing w:line="312" w:lineRule="auto"/>
            </w:pPr>
            <w:r w:rsidRPr="00214513">
              <w:rPr>
                <w:rFonts w:cstheme="minorHAnsi"/>
                <w:sz w:val="22"/>
                <w:szCs w:val="22"/>
                <w:lang w:val="mi-NZ"/>
              </w:rPr>
              <w:t xml:space="preserve">(16 </w:t>
            </w:r>
            <w:r w:rsidRPr="00214513">
              <w:rPr>
                <w:rFonts w:eastAsia="Calibri" w:cstheme="minorHAnsi"/>
                <w:sz w:val="22"/>
                <w:szCs w:val="22"/>
              </w:rPr>
              <w:t>people</w:t>
            </w:r>
            <w:r w:rsidRPr="00214513">
              <w:rPr>
                <w:rFonts w:cstheme="minorHAnsi"/>
                <w:sz w:val="22"/>
                <w:szCs w:val="22"/>
                <w:lang w:val="mi-NZ"/>
              </w:rPr>
              <w:t>)</w:t>
            </w:r>
          </w:p>
        </w:tc>
      </w:tr>
    </w:tbl>
    <w:p w14:paraId="6E109BDD" w14:textId="2CD77E00" w:rsidR="00E56A79" w:rsidRPr="00214513" w:rsidRDefault="00E56A79" w:rsidP="00951306">
      <w:pPr>
        <w:pStyle w:val="Heading3"/>
        <w:spacing w:line="312" w:lineRule="auto"/>
      </w:pPr>
      <w:r w:rsidRPr="00214513">
        <w:t>Key Findings</w:t>
      </w:r>
    </w:p>
    <w:p w14:paraId="25C47299" w14:textId="3131D705" w:rsidR="00E56A79" w:rsidRPr="00214513" w:rsidRDefault="00E56A79" w:rsidP="006C5798">
      <w:pPr>
        <w:pStyle w:val="RecLevel1"/>
        <w:numPr>
          <w:ilvl w:val="0"/>
          <w:numId w:val="0"/>
        </w:numPr>
        <w:spacing w:line="312" w:lineRule="auto"/>
      </w:pPr>
      <w:r w:rsidRPr="00214513">
        <w:t>Within the overall DSS client population, outcomes significantly differ for those receiving residential support, compared to non-residential support. DSS clients who received residential support clearly showed a higher level of support need than those receiving non-residential support and the rest of the New Zealand population.</w:t>
      </w:r>
    </w:p>
    <w:p w14:paraId="354D590A" w14:textId="77777777" w:rsidR="00E56A79" w:rsidRPr="00214513" w:rsidRDefault="00E56A79" w:rsidP="006C5798">
      <w:pPr>
        <w:pStyle w:val="RecLevel1"/>
        <w:numPr>
          <w:ilvl w:val="0"/>
          <w:numId w:val="0"/>
        </w:numPr>
        <w:spacing w:line="312" w:lineRule="auto"/>
      </w:pPr>
      <w:r w:rsidRPr="00214513">
        <w:t xml:space="preserve">Overall, </w:t>
      </w:r>
      <w:r w:rsidRPr="00214513">
        <w:rPr>
          <w:b/>
          <w:bCs/>
        </w:rPr>
        <w:t>DSS clients</w:t>
      </w:r>
      <w:r w:rsidRPr="00214513">
        <w:t xml:space="preserve"> (compared to the </w:t>
      </w:r>
      <w:r w:rsidRPr="00214513">
        <w:rPr>
          <w:rFonts w:eastAsia="Segoe UI"/>
        </w:rPr>
        <w:t xml:space="preserve">rest of the </w:t>
      </w:r>
      <w:r w:rsidRPr="00214513">
        <w:t>New Zealand population) were around:</w:t>
      </w:r>
    </w:p>
    <w:p w14:paraId="6012A824" w14:textId="3898E47F" w:rsidR="00E56A79" w:rsidRPr="00214513" w:rsidRDefault="00E56A79" w:rsidP="0012217E">
      <w:pPr>
        <w:pStyle w:val="RecLevel2"/>
        <w:numPr>
          <w:ilvl w:val="1"/>
          <w:numId w:val="8"/>
        </w:numPr>
        <w:spacing w:line="312" w:lineRule="auto"/>
      </w:pPr>
      <w:r w:rsidRPr="00214513">
        <w:t>9% less likely to be COVID-19 positive</w:t>
      </w:r>
      <w:r w:rsidRPr="00214513">
        <w:rPr>
          <w:rStyle w:val="FootnoteReference"/>
          <w:sz w:val="22"/>
          <w:szCs w:val="22"/>
        </w:rPr>
        <w:footnoteReference w:id="4"/>
      </w:r>
      <w:r w:rsidR="05D02874" w:rsidRPr="00214513">
        <w:t xml:space="preserve"> (13,789 people)</w:t>
      </w:r>
    </w:p>
    <w:p w14:paraId="625140C2" w14:textId="75BC5179" w:rsidR="00E56A79" w:rsidRPr="00214513" w:rsidRDefault="00E56A79" w:rsidP="0012217E">
      <w:pPr>
        <w:pStyle w:val="RecLevel2"/>
        <w:numPr>
          <w:ilvl w:val="1"/>
          <w:numId w:val="8"/>
        </w:numPr>
        <w:spacing w:line="312" w:lineRule="auto"/>
      </w:pPr>
      <w:r w:rsidRPr="00214513">
        <w:t>4.2 times more likely to be admitted to hospital for COVID-19</w:t>
      </w:r>
      <w:r w:rsidR="2745C33D" w:rsidRPr="00214513">
        <w:t xml:space="preserve"> (402 people)</w:t>
      </w:r>
      <w:r w:rsidRPr="00214513">
        <w:t xml:space="preserve">, and </w:t>
      </w:r>
    </w:p>
    <w:p w14:paraId="1E61798A" w14:textId="6A569FE1" w:rsidR="00E56A79" w:rsidRPr="00214513" w:rsidRDefault="00E56A79" w:rsidP="0012217E">
      <w:pPr>
        <w:pStyle w:val="RecLevel2"/>
        <w:numPr>
          <w:ilvl w:val="1"/>
          <w:numId w:val="8"/>
        </w:numPr>
        <w:spacing w:line="312" w:lineRule="auto"/>
      </w:pPr>
      <w:r w:rsidRPr="00214513">
        <w:t>13 times more likely to die of or with COVID-19</w:t>
      </w:r>
      <w:r w:rsidR="11FF6174" w:rsidRPr="00214513">
        <w:t xml:space="preserve"> (27 people)</w:t>
      </w:r>
    </w:p>
    <w:p w14:paraId="26E9AE85" w14:textId="77777777" w:rsidR="006C5798" w:rsidRPr="00214513" w:rsidRDefault="006C5798" w:rsidP="006C5798">
      <w:pPr>
        <w:pStyle w:val="RecLevel2"/>
        <w:numPr>
          <w:ilvl w:val="0"/>
          <w:numId w:val="0"/>
        </w:numPr>
        <w:spacing w:line="312" w:lineRule="auto"/>
        <w:ind w:left="907"/>
      </w:pPr>
    </w:p>
    <w:p w14:paraId="0DC044C4" w14:textId="708D945A" w:rsidR="00E56A79" w:rsidRPr="00214513" w:rsidRDefault="00E56A79" w:rsidP="006C5798">
      <w:pPr>
        <w:pStyle w:val="RecLevel1"/>
        <w:numPr>
          <w:ilvl w:val="0"/>
          <w:numId w:val="0"/>
        </w:numPr>
        <w:spacing w:line="312" w:lineRule="auto"/>
      </w:pPr>
      <w:r w:rsidRPr="00214513">
        <w:t>Overall,</w:t>
      </w:r>
      <w:r w:rsidRPr="00214513">
        <w:rPr>
          <w:b/>
          <w:bCs/>
        </w:rPr>
        <w:t xml:space="preserve"> DSS clients receiving non-residential support</w:t>
      </w:r>
      <w:r w:rsidRPr="00214513">
        <w:t xml:space="preserve"> (compared to the rest of the New Zealand population) were:</w:t>
      </w:r>
    </w:p>
    <w:p w14:paraId="3F734FA0" w14:textId="77777777" w:rsidR="00E56A79" w:rsidRPr="00214513" w:rsidRDefault="00E56A79" w:rsidP="006C5798">
      <w:pPr>
        <w:pStyle w:val="Bullet1"/>
      </w:pPr>
      <w:r w:rsidRPr="00214513">
        <w:t>16% less likely to be COVID-19 positive</w:t>
      </w:r>
    </w:p>
    <w:p w14:paraId="45C295A6" w14:textId="77777777" w:rsidR="00E56A79" w:rsidRPr="00214513" w:rsidRDefault="00E56A79" w:rsidP="006C5798">
      <w:pPr>
        <w:pStyle w:val="Bullet1"/>
      </w:pPr>
      <w:r w:rsidRPr="00214513">
        <w:t xml:space="preserve">3.5 times more likely to be admitted to hospital with COVID-19, and </w:t>
      </w:r>
    </w:p>
    <w:p w14:paraId="54F3EA0E" w14:textId="77777777" w:rsidR="00E56A79" w:rsidRPr="00214513" w:rsidRDefault="00E56A79" w:rsidP="006C5798">
      <w:pPr>
        <w:pStyle w:val="Bullet1"/>
      </w:pPr>
      <w:r w:rsidRPr="00214513">
        <w:t>7 times more likely to die of or with COVID-19.</w:t>
      </w:r>
    </w:p>
    <w:p w14:paraId="5772CB64" w14:textId="26A45425" w:rsidR="00E56A79" w:rsidRPr="00214513" w:rsidRDefault="00F24F6F" w:rsidP="006C5798">
      <w:pPr>
        <w:pStyle w:val="RecLevel1"/>
        <w:numPr>
          <w:ilvl w:val="0"/>
          <w:numId w:val="0"/>
        </w:numPr>
        <w:spacing w:line="312" w:lineRule="auto"/>
      </w:pPr>
      <w:r w:rsidRPr="00214513">
        <w:t xml:space="preserve">Overall, </w:t>
      </w:r>
      <w:r w:rsidRPr="00214513">
        <w:rPr>
          <w:b/>
          <w:bCs/>
        </w:rPr>
        <w:t>DSS clients receiving residential support</w:t>
      </w:r>
      <w:r w:rsidRPr="00214513">
        <w:t xml:space="preserve"> showed the highest level of support need compared to the overall New Zealand population, being:</w:t>
      </w:r>
    </w:p>
    <w:p w14:paraId="093CCF6F" w14:textId="1D2589B5" w:rsidR="00F24F6F" w:rsidRPr="00214513" w:rsidRDefault="00F24F6F" w:rsidP="006C5798">
      <w:pPr>
        <w:pStyle w:val="Bullet1"/>
      </w:pPr>
      <w:r w:rsidRPr="00214513">
        <w:t>19% more likely to be COVID-19 positive</w:t>
      </w:r>
    </w:p>
    <w:p w14:paraId="4420A498" w14:textId="18D9E2F3" w:rsidR="00F24F6F" w:rsidRPr="00214513" w:rsidRDefault="00F24F6F" w:rsidP="006C5798">
      <w:pPr>
        <w:pStyle w:val="Bullet1"/>
      </w:pPr>
      <w:r w:rsidRPr="00214513">
        <w:t>8 times more likely to be admitted to hospital with COVID-19, and</w:t>
      </w:r>
    </w:p>
    <w:p w14:paraId="79E45040" w14:textId="0C394B8F" w:rsidR="00F24F6F" w:rsidRPr="00214513" w:rsidRDefault="00F24F6F" w:rsidP="006C5798">
      <w:pPr>
        <w:pStyle w:val="Bullet1"/>
      </w:pPr>
      <w:r w:rsidRPr="00214513">
        <w:t>47 times more likely to die of or with COVID-19.</w:t>
      </w:r>
    </w:p>
    <w:p w14:paraId="0D146706" w14:textId="61EA0707" w:rsidR="00F24F6F" w:rsidRPr="00214513" w:rsidRDefault="00F24F6F" w:rsidP="006C5798">
      <w:pPr>
        <w:pStyle w:val="RecLevel1"/>
        <w:numPr>
          <w:ilvl w:val="0"/>
          <w:numId w:val="0"/>
        </w:numPr>
        <w:spacing w:line="312" w:lineRule="auto"/>
      </w:pPr>
      <w:r w:rsidRPr="00214513">
        <w:t>When we disaggregated the data by ethnicity, there were no significant differences between other ethnic groups. Due to the small sample size, this data cannot be reported publicly due to the risk that individuals may be identifiable.</w:t>
      </w:r>
    </w:p>
    <w:p w14:paraId="61F93221" w14:textId="18E163B7" w:rsidR="00E56A79" w:rsidRPr="00214513" w:rsidRDefault="00F24F6F" w:rsidP="006C5798">
      <w:pPr>
        <w:pStyle w:val="Heading2"/>
        <w:spacing w:line="312" w:lineRule="auto"/>
        <w:rPr>
          <w:sz w:val="24"/>
          <w:szCs w:val="24"/>
        </w:rPr>
      </w:pPr>
      <w:r w:rsidRPr="00214513">
        <w:rPr>
          <w:sz w:val="24"/>
          <w:szCs w:val="24"/>
        </w:rPr>
        <w:t>Analysis undertaken by Whaikaha shows that COVID-19 outcomes for DSS clients can differ significantly for those clients who receive residential support</w:t>
      </w:r>
    </w:p>
    <w:p w14:paraId="39610732" w14:textId="77777777" w:rsidR="00F24F6F" w:rsidRPr="00214513" w:rsidRDefault="00F24F6F" w:rsidP="006C5798">
      <w:pPr>
        <w:pStyle w:val="RecLevel1"/>
        <w:numPr>
          <w:ilvl w:val="0"/>
          <w:numId w:val="0"/>
        </w:numPr>
        <w:spacing w:line="312" w:lineRule="auto"/>
      </w:pPr>
      <w:r w:rsidRPr="00214513">
        <w:t xml:space="preserve">It is of concern that DSS clients receiving residential support are 47 times more likely to die with, or of COVID-19. </w:t>
      </w:r>
    </w:p>
    <w:p w14:paraId="6B59CD08" w14:textId="40764863" w:rsidR="00E56A79" w:rsidRPr="00214513" w:rsidRDefault="00F24F6F" w:rsidP="006C5798">
      <w:pPr>
        <w:pStyle w:val="RecLevel1"/>
        <w:numPr>
          <w:ilvl w:val="0"/>
          <w:numId w:val="0"/>
        </w:numPr>
        <w:spacing w:line="312" w:lineRule="auto"/>
      </w:pPr>
      <w:r w:rsidRPr="00214513">
        <w:t>While DSS clients receiving residential support are also 19 times more likely to be reported as a COVID-19 case, this may reflect a greater willingness to report a positive test, rather than greater spread of COVID-19.</w:t>
      </w:r>
    </w:p>
    <w:p w14:paraId="329F4FD7" w14:textId="77777777" w:rsidR="00F24F6F" w:rsidRPr="00214513" w:rsidRDefault="00F24F6F" w:rsidP="006C5798">
      <w:pPr>
        <w:pStyle w:val="RecLevel1"/>
        <w:numPr>
          <w:ilvl w:val="0"/>
          <w:numId w:val="0"/>
        </w:numPr>
        <w:spacing w:line="312" w:lineRule="auto"/>
      </w:pPr>
      <w:r w:rsidRPr="00214513">
        <w:t>International evidence shows that institutions, residential homes, and Aged Residential Care facilities</w:t>
      </w:r>
      <w:r w:rsidRPr="00214513">
        <w:rPr>
          <w:rStyle w:val="FootnoteReference"/>
          <w:sz w:val="22"/>
          <w:szCs w:val="22"/>
        </w:rPr>
        <w:footnoteReference w:id="5"/>
      </w:r>
      <w:r w:rsidRPr="00214513">
        <w:t xml:space="preserve"> are areas of COVID-19 spread [REP-22-11-1160 refers].</w:t>
      </w:r>
    </w:p>
    <w:p w14:paraId="79B5B0B7" w14:textId="362DD02E" w:rsidR="00F24F6F" w:rsidRPr="00214513" w:rsidRDefault="00F24F6F" w:rsidP="006C5798">
      <w:pPr>
        <w:pStyle w:val="RecLevel1"/>
        <w:numPr>
          <w:ilvl w:val="0"/>
          <w:numId w:val="0"/>
        </w:numPr>
        <w:spacing w:line="312" w:lineRule="auto"/>
      </w:pPr>
      <w:r w:rsidRPr="00214513">
        <w:t>In line with international evidence, it is likely that in an Aotearoa New Zealand context, DSS clients who receive residential support would be at greater risk of poor COVID-19 outcomes.</w:t>
      </w:r>
    </w:p>
    <w:p w14:paraId="247483A8" w14:textId="77777777" w:rsidR="006C5798" w:rsidRPr="00214513" w:rsidRDefault="006C5798" w:rsidP="006C5798">
      <w:pPr>
        <w:pStyle w:val="RecLevel1"/>
        <w:numPr>
          <w:ilvl w:val="0"/>
          <w:numId w:val="0"/>
        </w:numPr>
        <w:spacing w:line="312" w:lineRule="auto"/>
      </w:pPr>
    </w:p>
    <w:p w14:paraId="7AAA6CFF" w14:textId="77777777" w:rsidR="006C5798" w:rsidRPr="00214513" w:rsidRDefault="006C5798" w:rsidP="006C5798">
      <w:pPr>
        <w:pStyle w:val="RecLevel1"/>
        <w:numPr>
          <w:ilvl w:val="0"/>
          <w:numId w:val="0"/>
        </w:numPr>
        <w:spacing w:line="312" w:lineRule="auto"/>
      </w:pPr>
    </w:p>
    <w:p w14:paraId="6C048927" w14:textId="6365B394" w:rsidR="00F24F6F" w:rsidRPr="00214513" w:rsidRDefault="00F24F6F" w:rsidP="006C5798">
      <w:pPr>
        <w:pStyle w:val="Heading2"/>
        <w:spacing w:line="312" w:lineRule="auto"/>
        <w:rPr>
          <w:sz w:val="24"/>
          <w:szCs w:val="24"/>
        </w:rPr>
      </w:pPr>
      <w:r w:rsidRPr="00214513">
        <w:rPr>
          <w:sz w:val="24"/>
          <w:szCs w:val="24"/>
        </w:rPr>
        <w:t>Further analysis would be needed to fully explain the outcomes in this data</w:t>
      </w:r>
    </w:p>
    <w:p w14:paraId="5C12667D" w14:textId="45614EAD" w:rsidR="00F24F6F" w:rsidRPr="00214513" w:rsidRDefault="00F24F6F" w:rsidP="006C5798">
      <w:pPr>
        <w:pStyle w:val="RecLevel1"/>
        <w:numPr>
          <w:ilvl w:val="0"/>
          <w:numId w:val="0"/>
        </w:numPr>
        <w:spacing w:line="312" w:lineRule="auto"/>
      </w:pPr>
      <w:r w:rsidRPr="00214513">
        <w:t>While our analysis does not include evidence of causation, potential reasons for the COVID-19 outcomes experienced by DSS clients include:</w:t>
      </w:r>
    </w:p>
    <w:p w14:paraId="4114212F" w14:textId="3E231E68" w:rsidR="00F24F6F" w:rsidRPr="00214513" w:rsidRDefault="00F24F6F" w:rsidP="006C5798">
      <w:pPr>
        <w:pStyle w:val="RecLevel2"/>
        <w:numPr>
          <w:ilvl w:val="0"/>
          <w:numId w:val="0"/>
        </w:numPr>
        <w:spacing w:line="312" w:lineRule="auto"/>
        <w:rPr>
          <w:b/>
          <w:bCs/>
          <w:i/>
          <w:iCs/>
        </w:rPr>
      </w:pPr>
      <w:r w:rsidRPr="00214513">
        <w:rPr>
          <w:b/>
          <w:bCs/>
          <w:i/>
          <w:iCs/>
        </w:rPr>
        <w:t>Case Rates</w:t>
      </w:r>
    </w:p>
    <w:p w14:paraId="64525312" w14:textId="09483522" w:rsidR="00F24F6F" w:rsidRPr="00214513" w:rsidRDefault="00F24F6F" w:rsidP="006C5798">
      <w:pPr>
        <w:pStyle w:val="RecLevel1"/>
        <w:numPr>
          <w:ilvl w:val="0"/>
          <w:numId w:val="0"/>
        </w:numPr>
        <w:spacing w:line="312" w:lineRule="auto"/>
      </w:pPr>
      <w:r w:rsidRPr="00214513">
        <w:t>Some disabled people and their whānau have decided that to effectively self-isolate from the wider community to reduce their exposure to COVID-19</w:t>
      </w:r>
    </w:p>
    <w:p w14:paraId="322B0975" w14:textId="03F1C201" w:rsidR="00F24F6F" w:rsidRPr="00214513" w:rsidRDefault="00F24F6F" w:rsidP="006C5798">
      <w:pPr>
        <w:pStyle w:val="RecLevel1"/>
        <w:numPr>
          <w:ilvl w:val="0"/>
          <w:numId w:val="0"/>
        </w:numPr>
        <w:spacing w:line="312" w:lineRule="auto"/>
      </w:pPr>
      <w:r w:rsidRPr="00214513">
        <w:t>DSS clients who live in group homes or residential care facilities have a heightened risk of getting COVID-19 through a close-contact cluster</w:t>
      </w:r>
    </w:p>
    <w:p w14:paraId="6CAC4141" w14:textId="00A070AE" w:rsidR="00F24F6F" w:rsidRPr="00214513" w:rsidRDefault="00F24F6F" w:rsidP="006C5798">
      <w:pPr>
        <w:pStyle w:val="RecLevel1"/>
        <w:numPr>
          <w:ilvl w:val="0"/>
          <w:numId w:val="0"/>
        </w:numPr>
        <w:spacing w:line="312" w:lineRule="auto"/>
      </w:pPr>
      <w:r w:rsidRPr="00214513">
        <w:t>Physical distancing in group home environments and residential facilities can be difficult to maintain</w:t>
      </w:r>
    </w:p>
    <w:p w14:paraId="260F6801" w14:textId="5C68CC66" w:rsidR="00F24F6F" w:rsidRPr="00214513" w:rsidRDefault="00F24F6F" w:rsidP="006C5798">
      <w:pPr>
        <w:pStyle w:val="RecLevel1"/>
        <w:numPr>
          <w:ilvl w:val="0"/>
          <w:numId w:val="0"/>
        </w:numPr>
        <w:spacing w:line="312" w:lineRule="auto"/>
      </w:pPr>
      <w:r w:rsidRPr="00214513">
        <w:t>Providers delivering residential support may take a more prudent approach to COVID-19 testing and reporting, increasing the likelihood of a case being reported</w:t>
      </w:r>
    </w:p>
    <w:p w14:paraId="3B765EBD" w14:textId="70551733" w:rsidR="00F24F6F" w:rsidRPr="00214513" w:rsidRDefault="00F24F6F" w:rsidP="006C5798">
      <w:pPr>
        <w:pStyle w:val="RecLevel1"/>
        <w:numPr>
          <w:ilvl w:val="0"/>
          <w:numId w:val="0"/>
        </w:numPr>
        <w:spacing w:line="312" w:lineRule="auto"/>
      </w:pPr>
      <w:r w:rsidRPr="00214513">
        <w:t>People receiving non-residential services may test positive for COVID-19 but may not always report their positive status, for example, due to accessibility barriers.</w:t>
      </w:r>
    </w:p>
    <w:p w14:paraId="34AFB376" w14:textId="0431A658" w:rsidR="00F24F6F" w:rsidRPr="00214513" w:rsidRDefault="00F24F6F" w:rsidP="006C5798">
      <w:pPr>
        <w:pStyle w:val="RecLevel2"/>
        <w:numPr>
          <w:ilvl w:val="0"/>
          <w:numId w:val="0"/>
        </w:numPr>
        <w:spacing w:line="312" w:lineRule="auto"/>
        <w:rPr>
          <w:b/>
          <w:bCs/>
          <w:i/>
          <w:iCs/>
        </w:rPr>
      </w:pPr>
      <w:r w:rsidRPr="00214513">
        <w:rPr>
          <w:b/>
          <w:bCs/>
          <w:i/>
          <w:iCs/>
        </w:rPr>
        <w:t>Hospitalisations and Mortality</w:t>
      </w:r>
    </w:p>
    <w:p w14:paraId="441689E7" w14:textId="77777777" w:rsidR="00F24F6F" w:rsidRPr="00214513" w:rsidRDefault="00F24F6F" w:rsidP="006C5798">
      <w:pPr>
        <w:pStyle w:val="RecLevel1"/>
        <w:numPr>
          <w:ilvl w:val="0"/>
          <w:numId w:val="0"/>
        </w:numPr>
        <w:spacing w:line="312" w:lineRule="auto"/>
      </w:pPr>
      <w:r w:rsidRPr="00214513">
        <w:t>The analysis undertaken by Whaikaha shows that DSS clients are more likely to be hospitalised with COVID-19, or to die with or of COVID-19</w:t>
      </w:r>
    </w:p>
    <w:p w14:paraId="5F5A914F" w14:textId="01C6D643" w:rsidR="00F24F6F" w:rsidRPr="00214513" w:rsidRDefault="00F24F6F" w:rsidP="006C5798">
      <w:pPr>
        <w:pStyle w:val="RecLevel1"/>
        <w:numPr>
          <w:ilvl w:val="0"/>
          <w:numId w:val="0"/>
        </w:numPr>
        <w:spacing w:line="312" w:lineRule="auto"/>
      </w:pPr>
      <w:r w:rsidRPr="00214513">
        <w:t>Overstretched health systems may indirectly discriminate against disabled people by prioritising life-saving treatments by calculating who would benefit most</w:t>
      </w:r>
      <w:r w:rsidRPr="00214513">
        <w:rPr>
          <w:rStyle w:val="FootnoteReference"/>
          <w:sz w:val="22"/>
          <w:szCs w:val="22"/>
        </w:rPr>
        <w:footnoteReference w:id="6"/>
      </w:r>
      <w:r w:rsidRPr="00214513">
        <w:t>. This data suggests DSS clients with COVID-19 have continued to have access to COVID-19 health services and resources and may have been prioritised for hospital support.</w:t>
      </w:r>
    </w:p>
    <w:p w14:paraId="4C5352FA" w14:textId="49E2D7D6" w:rsidR="00F24F6F" w:rsidRPr="00214513" w:rsidRDefault="00F24F6F" w:rsidP="006C5798">
      <w:pPr>
        <w:pStyle w:val="RecLevel1"/>
        <w:numPr>
          <w:ilvl w:val="0"/>
          <w:numId w:val="0"/>
        </w:numPr>
        <w:spacing w:line="312" w:lineRule="auto"/>
        <w:rPr>
          <w:b/>
          <w:bCs/>
          <w:i/>
          <w:iCs/>
        </w:rPr>
      </w:pPr>
      <w:r w:rsidRPr="00214513">
        <w:rPr>
          <w:b/>
          <w:bCs/>
          <w:i/>
          <w:iCs/>
        </w:rPr>
        <w:t>Limitations of data analysis and future research opportunities</w:t>
      </w:r>
    </w:p>
    <w:p w14:paraId="76AF0957" w14:textId="75CB3BA0" w:rsidR="00F24F6F" w:rsidRPr="00214513" w:rsidRDefault="00F24F6F" w:rsidP="006C5798">
      <w:pPr>
        <w:pStyle w:val="RecLevel1"/>
        <w:numPr>
          <w:ilvl w:val="0"/>
          <w:numId w:val="0"/>
        </w:numPr>
        <w:spacing w:line="312" w:lineRule="auto"/>
      </w:pPr>
      <w:r w:rsidRPr="00214513">
        <w:t xml:space="preserve">There will be other disabled people who are at similar risk to DSS clients, who do not receive DSS. This analysis is limited to those who receive DSS, as there is not reliable data and evidence available to quantify the full number of disabled people who are at risk of poorer COVID-19 outcomes. </w:t>
      </w:r>
    </w:p>
    <w:p w14:paraId="10BB56E6" w14:textId="6321E351" w:rsidR="00F24F6F" w:rsidRPr="00214513" w:rsidRDefault="00F24F6F" w:rsidP="006C5798">
      <w:pPr>
        <w:pStyle w:val="RecLevel1"/>
        <w:numPr>
          <w:ilvl w:val="0"/>
          <w:numId w:val="0"/>
        </w:numPr>
        <w:spacing w:line="312" w:lineRule="auto"/>
      </w:pPr>
      <w:r w:rsidRPr="00214513">
        <w:t>Since the beginning of the COVID-19 pandemic, Whaikaha and the Office for Disability Issues</w:t>
      </w:r>
      <w:r w:rsidRPr="00214513">
        <w:footnoteReference w:id="7"/>
      </w:r>
      <w:r w:rsidRPr="00214513">
        <w:t xml:space="preserve"> have worked under the assumption that disabled people, </w:t>
      </w:r>
      <w:proofErr w:type="gramStart"/>
      <w:r w:rsidRPr="00214513">
        <w:t>and in particular, DSS</w:t>
      </w:r>
      <w:proofErr w:type="gramEnd"/>
      <w:r w:rsidRPr="00214513">
        <w:t xml:space="preserve"> clients are at greater risk of poor outcomes if they contract COVID-19</w:t>
      </w:r>
      <w:r w:rsidR="00951306" w:rsidRPr="00214513">
        <w:t>.</w:t>
      </w:r>
    </w:p>
    <w:p w14:paraId="4D3B36EE" w14:textId="261A8B45" w:rsidR="00F24F6F" w:rsidRPr="00214513" w:rsidRDefault="00F24F6F" w:rsidP="006C5798">
      <w:pPr>
        <w:pStyle w:val="RecLevel1"/>
        <w:numPr>
          <w:ilvl w:val="0"/>
          <w:numId w:val="0"/>
        </w:numPr>
        <w:spacing w:line="312" w:lineRule="auto"/>
      </w:pPr>
      <w:r w:rsidRPr="00214513">
        <w:t>This assumption was based on existing data which shows that disabled people are doing much poorer than non-disabled people when it comes to unmet needs for primary health care, ED visits and having poor self-rated health</w:t>
      </w:r>
      <w:r w:rsidR="00951306" w:rsidRPr="00214513">
        <w:t>.</w:t>
      </w:r>
    </w:p>
    <w:p w14:paraId="59086A82" w14:textId="7D230247" w:rsidR="00F24F6F" w:rsidRPr="00214513" w:rsidRDefault="00F24F6F" w:rsidP="006C5798">
      <w:pPr>
        <w:pStyle w:val="RecLevel1"/>
        <w:numPr>
          <w:ilvl w:val="0"/>
          <w:numId w:val="0"/>
        </w:numPr>
        <w:spacing w:line="312" w:lineRule="auto"/>
      </w:pPr>
      <w:r w:rsidRPr="00214513">
        <w:t>Although the analysis undertaken by Whaikaha generally aligns with the findings in the ‘COVID-19 Disability Data’ report [REP-22-11-1160 refers], there are some variations e.g., the overall mortality rate for DSS clients differs, likely due to the small sample size, and differences in the overall number of DSS clients who died with or of COVID-19</w:t>
      </w:r>
      <w:r w:rsidRPr="00214513">
        <w:footnoteReference w:id="8"/>
      </w:r>
      <w:r w:rsidRPr="00214513">
        <w:t>.</w:t>
      </w:r>
    </w:p>
    <w:p w14:paraId="6D9B29A8" w14:textId="3816CF2E" w:rsidR="00F24F6F" w:rsidRPr="00214513" w:rsidRDefault="00F24F6F" w:rsidP="006C5798">
      <w:pPr>
        <w:pStyle w:val="RecLevel1"/>
        <w:numPr>
          <w:ilvl w:val="0"/>
          <w:numId w:val="0"/>
        </w:numPr>
        <w:spacing w:line="312" w:lineRule="auto"/>
      </w:pPr>
      <w:r w:rsidRPr="00214513">
        <w:t xml:space="preserve">We also note that </w:t>
      </w:r>
      <w:proofErr w:type="spellStart"/>
      <w:r w:rsidRPr="00214513">
        <w:t>Manatū</w:t>
      </w:r>
      <w:proofErr w:type="spellEnd"/>
      <w:r w:rsidRPr="00214513">
        <w:t xml:space="preserve"> Hauora used an aged-standardised approach, which was not used by Whaikaha</w:t>
      </w:r>
      <w:r w:rsidR="00951306" w:rsidRPr="00214513">
        <w:t>.</w:t>
      </w:r>
    </w:p>
    <w:p w14:paraId="24A7EA3D" w14:textId="54EB62DB" w:rsidR="00F24F6F" w:rsidRPr="00214513" w:rsidRDefault="00F24F6F" w:rsidP="006C5798">
      <w:pPr>
        <w:pStyle w:val="RecLevel1"/>
        <w:numPr>
          <w:ilvl w:val="0"/>
          <w:numId w:val="0"/>
        </w:numPr>
        <w:spacing w:line="312" w:lineRule="auto"/>
      </w:pPr>
      <w:r w:rsidRPr="00214513">
        <w:t>The analysis undertaken by Whaikaha does not account for variables such as:</w:t>
      </w:r>
    </w:p>
    <w:p w14:paraId="43553CDC" w14:textId="290C4D19" w:rsidR="00F24F6F" w:rsidRPr="00214513" w:rsidRDefault="00F24F6F" w:rsidP="0012217E">
      <w:pPr>
        <w:pStyle w:val="RecLevel2"/>
        <w:numPr>
          <w:ilvl w:val="0"/>
          <w:numId w:val="10"/>
        </w:numPr>
        <w:spacing w:line="312" w:lineRule="auto"/>
      </w:pPr>
      <w:r w:rsidRPr="00214513">
        <w:t>DSS clients’ pre-existing health conditions and comorbidities</w:t>
      </w:r>
    </w:p>
    <w:p w14:paraId="380C9F43" w14:textId="25701C95" w:rsidR="00F24F6F" w:rsidRPr="00214513" w:rsidRDefault="00F24F6F" w:rsidP="0012217E">
      <w:pPr>
        <w:pStyle w:val="RecLevel2"/>
        <w:numPr>
          <w:ilvl w:val="0"/>
          <w:numId w:val="10"/>
        </w:numPr>
        <w:spacing w:line="312" w:lineRule="auto"/>
      </w:pPr>
      <w:r w:rsidRPr="00214513">
        <w:t>interactions with the health system, and the effect on reported cases, and</w:t>
      </w:r>
    </w:p>
    <w:p w14:paraId="07C4D18E" w14:textId="3A3BDFE0" w:rsidR="00F24F6F" w:rsidRPr="00214513" w:rsidRDefault="00F24F6F" w:rsidP="0012217E">
      <w:pPr>
        <w:pStyle w:val="RecLevel2"/>
        <w:numPr>
          <w:ilvl w:val="0"/>
          <w:numId w:val="10"/>
        </w:numPr>
        <w:spacing w:line="312" w:lineRule="auto"/>
      </w:pPr>
      <w:r w:rsidRPr="00214513">
        <w:t>hospital admissions for the purposes of observation, monitoring, or routine procedures.</w:t>
      </w:r>
    </w:p>
    <w:p w14:paraId="77D86AEE" w14:textId="7B79BFBC" w:rsidR="00F24F6F" w:rsidRPr="00214513" w:rsidRDefault="00F24F6F" w:rsidP="006C5798">
      <w:pPr>
        <w:pStyle w:val="RecLevel1"/>
        <w:numPr>
          <w:ilvl w:val="0"/>
          <w:numId w:val="0"/>
        </w:numPr>
        <w:spacing w:line="312" w:lineRule="auto"/>
      </w:pPr>
      <w:r w:rsidRPr="00214513">
        <w:t>This data analysis focuses on COVID-19 outcomes for approximately 43,000 disabled people. Further analysis opportunities include:</w:t>
      </w:r>
    </w:p>
    <w:p w14:paraId="08BD847D" w14:textId="1B4889FB" w:rsidR="00F24F6F" w:rsidRPr="00214513" w:rsidRDefault="00F24F6F" w:rsidP="0012217E">
      <w:pPr>
        <w:pStyle w:val="RecLevel2"/>
        <w:numPr>
          <w:ilvl w:val="0"/>
          <w:numId w:val="9"/>
        </w:numPr>
        <w:spacing w:line="312" w:lineRule="auto"/>
      </w:pPr>
      <w:r w:rsidRPr="00214513">
        <w:t>the impact of co-morbidity factors and/or age on DSS clients’ COVID-19 mortality and hospitalisations</w:t>
      </w:r>
    </w:p>
    <w:p w14:paraId="1780D738" w14:textId="272046A4" w:rsidR="00F24F6F" w:rsidRPr="00214513" w:rsidRDefault="00F24F6F" w:rsidP="0012217E">
      <w:pPr>
        <w:pStyle w:val="RecLevel2"/>
        <w:numPr>
          <w:ilvl w:val="0"/>
          <w:numId w:val="9"/>
        </w:numPr>
        <w:spacing w:line="312" w:lineRule="auto"/>
      </w:pPr>
      <w:r w:rsidRPr="00214513">
        <w:t>availability and access to primary health care services for DSS clients, and</w:t>
      </w:r>
    </w:p>
    <w:p w14:paraId="16984E67" w14:textId="0041448A" w:rsidR="00F24F6F" w:rsidRPr="00214513" w:rsidRDefault="00F24F6F" w:rsidP="0012217E">
      <w:pPr>
        <w:pStyle w:val="RecLevel2"/>
        <w:numPr>
          <w:ilvl w:val="0"/>
          <w:numId w:val="9"/>
        </w:numPr>
        <w:spacing w:line="312" w:lineRule="auto"/>
      </w:pPr>
      <w:r w:rsidRPr="00214513">
        <w:t xml:space="preserve">COVID-19 outcomes for the wider disability population living in New Zealand </w:t>
      </w:r>
      <w:proofErr w:type="spellStart"/>
      <w:proofErr w:type="gramStart"/>
      <w:r w:rsidRPr="00214513">
        <w:t>ie</w:t>
      </w:r>
      <w:proofErr w:type="spellEnd"/>
      <w:proofErr w:type="gramEnd"/>
      <w:r w:rsidRPr="00214513">
        <w:t xml:space="preserve"> DSS clients, and those not receiving DSS, disaggregated by ethnicity and age.</w:t>
      </w:r>
    </w:p>
    <w:sectPr w:rsidR="00F24F6F" w:rsidRPr="00214513" w:rsidSect="00951306">
      <w:headerReference w:type="default" r:id="rId8"/>
      <w:footerReference w:type="default" r:id="rId9"/>
      <w:headerReference w:type="first" r:id="rId10"/>
      <w:pgSz w:w="11906" w:h="16838"/>
      <w:pgMar w:top="1440"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47B2" w14:textId="77777777" w:rsidR="00C71951" w:rsidRDefault="00C71951" w:rsidP="00E56A79">
      <w:pPr>
        <w:spacing w:before="0" w:after="0" w:line="240" w:lineRule="auto"/>
      </w:pPr>
      <w:r>
        <w:separator/>
      </w:r>
    </w:p>
  </w:endnote>
  <w:endnote w:type="continuationSeparator" w:id="0">
    <w:p w14:paraId="0B939467" w14:textId="77777777" w:rsidR="00C71951" w:rsidRDefault="00C71951" w:rsidP="00E56A79">
      <w:pPr>
        <w:spacing w:before="0" w:after="0" w:line="240" w:lineRule="auto"/>
      </w:pPr>
      <w:r>
        <w:continuationSeparator/>
      </w:r>
    </w:p>
  </w:endnote>
  <w:endnote w:type="continuationNotice" w:id="1">
    <w:p w14:paraId="1B28F340" w14:textId="77777777" w:rsidR="00C71951" w:rsidRDefault="00C719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428173"/>
      <w:docPartObj>
        <w:docPartGallery w:val="Page Numbers (Bottom of Page)"/>
        <w:docPartUnique/>
      </w:docPartObj>
    </w:sdtPr>
    <w:sdtEndPr>
      <w:rPr>
        <w:noProof/>
      </w:rPr>
    </w:sdtEndPr>
    <w:sdtContent>
      <w:p w14:paraId="7BA3C712" w14:textId="37BA7727" w:rsidR="00951306" w:rsidRDefault="00951306">
        <w:pPr>
          <w:pStyle w:val="Footer"/>
          <w:jc w:val="right"/>
        </w:pPr>
        <w:r>
          <w:fldChar w:fldCharType="begin"/>
        </w:r>
        <w:r>
          <w:instrText xml:space="preserve"> PAGE   \* MERGEFORMAT </w:instrText>
        </w:r>
        <w:r>
          <w:fldChar w:fldCharType="separate"/>
        </w:r>
        <w:r w:rsidR="00B56306">
          <w:rPr>
            <w:noProof/>
          </w:rPr>
          <w:t>2</w:t>
        </w:r>
        <w:r>
          <w:rPr>
            <w:noProof/>
          </w:rPr>
          <w:fldChar w:fldCharType="end"/>
        </w:r>
      </w:p>
    </w:sdtContent>
  </w:sdt>
  <w:p w14:paraId="4E750791" w14:textId="2A1B7D54" w:rsidR="00951306" w:rsidRPr="00951306" w:rsidRDefault="00951306" w:rsidP="00951306">
    <w:pPr>
      <w:pBdr>
        <w:top w:val="nil"/>
        <w:left w:val="nil"/>
        <w:bottom w:val="nil"/>
        <w:right w:val="nil"/>
        <w:between w:val="nil"/>
      </w:pBdr>
      <w:tabs>
        <w:tab w:val="left" w:pos="1418"/>
        <w:tab w:val="center" w:pos="4320"/>
        <w:tab w:val="left" w:pos="8789"/>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E7D0" w14:textId="77777777" w:rsidR="00C71951" w:rsidRDefault="00C71951" w:rsidP="00E56A79">
      <w:pPr>
        <w:spacing w:before="0" w:after="0" w:line="240" w:lineRule="auto"/>
      </w:pPr>
      <w:r>
        <w:separator/>
      </w:r>
    </w:p>
  </w:footnote>
  <w:footnote w:type="continuationSeparator" w:id="0">
    <w:p w14:paraId="5F9CB05E" w14:textId="77777777" w:rsidR="00C71951" w:rsidRDefault="00C71951" w:rsidP="00E56A79">
      <w:pPr>
        <w:spacing w:before="0" w:after="0" w:line="240" w:lineRule="auto"/>
      </w:pPr>
      <w:r>
        <w:continuationSeparator/>
      </w:r>
    </w:p>
  </w:footnote>
  <w:footnote w:type="continuationNotice" w:id="1">
    <w:p w14:paraId="0814A8EA" w14:textId="77777777" w:rsidR="00C71951" w:rsidRDefault="00C71951">
      <w:pPr>
        <w:spacing w:before="0" w:after="0" w:line="240" w:lineRule="auto"/>
      </w:pPr>
    </w:p>
  </w:footnote>
  <w:footnote w:id="2">
    <w:p w14:paraId="62975B24" w14:textId="77777777" w:rsidR="00E56A79" w:rsidRPr="00951306" w:rsidRDefault="00E56A79" w:rsidP="00951306">
      <w:pPr>
        <w:pStyle w:val="FootnoteText"/>
        <w:spacing w:line="276" w:lineRule="auto"/>
        <w:rPr>
          <w:sz w:val="16"/>
          <w:szCs w:val="16"/>
        </w:rPr>
      </w:pPr>
      <w:r w:rsidRPr="00951306">
        <w:rPr>
          <w:rStyle w:val="FootnoteReference"/>
          <w:sz w:val="16"/>
        </w:rPr>
        <w:footnoteRef/>
      </w:r>
      <w:r w:rsidRPr="00951306">
        <w:rPr>
          <w:sz w:val="16"/>
          <w:szCs w:val="16"/>
        </w:rPr>
        <w:t xml:space="preserve"> All other DSS supports, not included under ‘residential support’.</w:t>
      </w:r>
    </w:p>
  </w:footnote>
  <w:footnote w:id="3">
    <w:p w14:paraId="29950844" w14:textId="77777777" w:rsidR="00E56A79" w:rsidRPr="00951306" w:rsidRDefault="00E56A79" w:rsidP="00951306">
      <w:pPr>
        <w:pStyle w:val="FootnoteText"/>
        <w:spacing w:line="276" w:lineRule="auto"/>
        <w:rPr>
          <w:sz w:val="16"/>
          <w:szCs w:val="16"/>
        </w:rPr>
      </w:pPr>
      <w:r w:rsidRPr="00951306">
        <w:rPr>
          <w:rStyle w:val="FootnoteReference"/>
          <w:sz w:val="16"/>
        </w:rPr>
        <w:footnoteRef/>
      </w:r>
      <w:r w:rsidRPr="00951306">
        <w:rPr>
          <w:sz w:val="16"/>
          <w:szCs w:val="16"/>
        </w:rPr>
        <w:t xml:space="preserve"> To be included as a COVID-19 hospitalisation, COVID-19 must have been a contributing reason for their hospital stay. A hospitalisation must also have been for a period of at least three hours to be counted.</w:t>
      </w:r>
    </w:p>
  </w:footnote>
  <w:footnote w:id="4">
    <w:p w14:paraId="4BDE3CC2" w14:textId="77777777" w:rsidR="00E56A79" w:rsidRPr="00951306" w:rsidRDefault="00E56A79" w:rsidP="00951306">
      <w:pPr>
        <w:pStyle w:val="FootnoteText"/>
        <w:spacing w:line="276" w:lineRule="auto"/>
        <w:rPr>
          <w:sz w:val="16"/>
          <w:szCs w:val="16"/>
        </w:rPr>
      </w:pPr>
      <w:r w:rsidRPr="00951306">
        <w:rPr>
          <w:rStyle w:val="FootnoteReference"/>
          <w:sz w:val="16"/>
        </w:rPr>
        <w:footnoteRef/>
      </w:r>
      <w:r w:rsidRPr="00951306">
        <w:rPr>
          <w:sz w:val="16"/>
          <w:szCs w:val="16"/>
        </w:rPr>
        <w:t xml:space="preserve"> ‘COVID-19 positive’ refers to self-reported positive cases, or cases reported after routine testing. There is no way to count cases where no report was made.</w:t>
      </w:r>
    </w:p>
  </w:footnote>
  <w:footnote w:id="5">
    <w:p w14:paraId="24C6A70D" w14:textId="77777777" w:rsidR="00F24F6F" w:rsidRPr="00951306" w:rsidRDefault="00F24F6F" w:rsidP="00951306">
      <w:pPr>
        <w:pStyle w:val="FootnoteText"/>
        <w:spacing w:line="276" w:lineRule="auto"/>
        <w:rPr>
          <w:b/>
          <w:bCs/>
          <w:sz w:val="16"/>
          <w:szCs w:val="16"/>
          <w:lang w:val="mi-NZ"/>
        </w:rPr>
      </w:pPr>
      <w:r w:rsidRPr="00951306">
        <w:rPr>
          <w:rStyle w:val="FootnoteReference"/>
          <w:sz w:val="16"/>
        </w:rPr>
        <w:footnoteRef/>
      </w:r>
      <w:r w:rsidRPr="00951306">
        <w:rPr>
          <w:sz w:val="16"/>
          <w:szCs w:val="16"/>
        </w:rPr>
        <w:t xml:space="preserve"> Brass A, </w:t>
      </w:r>
      <w:proofErr w:type="spellStart"/>
      <w:r w:rsidRPr="00951306">
        <w:rPr>
          <w:sz w:val="16"/>
          <w:szCs w:val="16"/>
        </w:rPr>
        <w:t>Shoubridge</w:t>
      </w:r>
      <w:proofErr w:type="spellEnd"/>
      <w:r w:rsidRPr="00951306">
        <w:rPr>
          <w:sz w:val="16"/>
          <w:szCs w:val="16"/>
        </w:rPr>
        <w:t xml:space="preserve"> AP, Crotty M, </w:t>
      </w:r>
      <w:proofErr w:type="spellStart"/>
      <w:r w:rsidRPr="00951306">
        <w:rPr>
          <w:sz w:val="16"/>
          <w:szCs w:val="16"/>
        </w:rPr>
        <w:t>Morawska</w:t>
      </w:r>
      <w:proofErr w:type="spellEnd"/>
      <w:r w:rsidRPr="00951306">
        <w:rPr>
          <w:sz w:val="16"/>
          <w:szCs w:val="16"/>
        </w:rPr>
        <w:t xml:space="preserve"> L, Bell SC, </w:t>
      </w:r>
      <w:proofErr w:type="spellStart"/>
      <w:r w:rsidRPr="00951306">
        <w:rPr>
          <w:sz w:val="16"/>
          <w:szCs w:val="16"/>
        </w:rPr>
        <w:t>Qiao</w:t>
      </w:r>
      <w:proofErr w:type="spellEnd"/>
      <w:r w:rsidRPr="00951306">
        <w:rPr>
          <w:sz w:val="16"/>
          <w:szCs w:val="16"/>
        </w:rPr>
        <w:t xml:space="preserve"> M, Woodman RJ, Whitehead C, </w:t>
      </w:r>
      <w:proofErr w:type="spellStart"/>
      <w:r w:rsidRPr="00951306">
        <w:rPr>
          <w:sz w:val="16"/>
          <w:szCs w:val="16"/>
        </w:rPr>
        <w:t>Inacio</w:t>
      </w:r>
      <w:proofErr w:type="spellEnd"/>
      <w:r w:rsidRPr="00951306">
        <w:rPr>
          <w:sz w:val="16"/>
          <w:szCs w:val="16"/>
        </w:rPr>
        <w:t xml:space="preserve"> MC, Miller C, </w:t>
      </w:r>
      <w:proofErr w:type="spellStart"/>
      <w:r w:rsidRPr="00951306">
        <w:rPr>
          <w:sz w:val="16"/>
          <w:szCs w:val="16"/>
        </w:rPr>
        <w:t>Corlis</w:t>
      </w:r>
      <w:proofErr w:type="spellEnd"/>
      <w:r w:rsidRPr="00951306">
        <w:rPr>
          <w:sz w:val="16"/>
          <w:szCs w:val="16"/>
        </w:rPr>
        <w:t xml:space="preserve"> M, </w:t>
      </w:r>
      <w:proofErr w:type="spellStart"/>
      <w:r w:rsidRPr="00951306">
        <w:rPr>
          <w:sz w:val="16"/>
          <w:szCs w:val="16"/>
        </w:rPr>
        <w:t>Larby</w:t>
      </w:r>
      <w:proofErr w:type="spellEnd"/>
      <w:r w:rsidRPr="00951306">
        <w:rPr>
          <w:sz w:val="16"/>
          <w:szCs w:val="16"/>
        </w:rPr>
        <w:t xml:space="preserve"> N, Elms L, Sims SK, Taylor SL, Flynn E, </w:t>
      </w:r>
      <w:proofErr w:type="spellStart"/>
      <w:r w:rsidRPr="00951306">
        <w:rPr>
          <w:sz w:val="16"/>
          <w:szCs w:val="16"/>
        </w:rPr>
        <w:t>Papanicolas</w:t>
      </w:r>
      <w:proofErr w:type="spellEnd"/>
      <w:r w:rsidRPr="00951306">
        <w:rPr>
          <w:sz w:val="16"/>
          <w:szCs w:val="16"/>
        </w:rPr>
        <w:t xml:space="preserve"> LE, Rogers GB. Prevention of SARS-CoV-2 (COVID-19) transmission in residential aged care using ultraviolet light (PETRA): a two-arm crossover randomised controlled trial protocol. BMC Infect Dis. 2021 Sep 17;21(1):967. </w:t>
      </w:r>
      <w:proofErr w:type="spellStart"/>
      <w:r w:rsidRPr="00951306">
        <w:rPr>
          <w:sz w:val="16"/>
          <w:szCs w:val="16"/>
        </w:rPr>
        <w:t>doi</w:t>
      </w:r>
      <w:proofErr w:type="spellEnd"/>
      <w:r w:rsidRPr="00951306">
        <w:rPr>
          <w:sz w:val="16"/>
          <w:szCs w:val="16"/>
        </w:rPr>
        <w:t>: 10.1186/s12879-021-06659-7. PMID: 34535091; PMCID: PMC8446719.</w:t>
      </w:r>
    </w:p>
  </w:footnote>
  <w:footnote w:id="6">
    <w:p w14:paraId="30856662" w14:textId="77777777" w:rsidR="00F24F6F" w:rsidRPr="00951306" w:rsidRDefault="00F24F6F" w:rsidP="00951306">
      <w:pPr>
        <w:pStyle w:val="FootnoteText"/>
        <w:spacing w:line="276" w:lineRule="auto"/>
        <w:rPr>
          <w:sz w:val="16"/>
          <w:szCs w:val="16"/>
          <w:lang w:val="mi-NZ"/>
        </w:rPr>
      </w:pPr>
      <w:r w:rsidRPr="00951306">
        <w:rPr>
          <w:rStyle w:val="FootnoteReference"/>
          <w:sz w:val="16"/>
        </w:rPr>
        <w:footnoteRef/>
      </w:r>
      <w:r w:rsidRPr="00951306">
        <w:rPr>
          <w:sz w:val="16"/>
          <w:szCs w:val="16"/>
        </w:rPr>
        <w:t xml:space="preserve"> Independent Monitoring Mechanism ‘Making Disability Rights Real in a Pandemic’ (2021).</w:t>
      </w:r>
    </w:p>
  </w:footnote>
  <w:footnote w:id="7">
    <w:p w14:paraId="702A1608" w14:textId="77777777" w:rsidR="00F24F6F" w:rsidRPr="00951306" w:rsidRDefault="00F24F6F" w:rsidP="00951306">
      <w:pPr>
        <w:pStyle w:val="FootnoteText"/>
        <w:spacing w:line="276" w:lineRule="auto"/>
        <w:rPr>
          <w:sz w:val="16"/>
          <w:szCs w:val="16"/>
          <w:lang w:val="mi-NZ"/>
        </w:rPr>
      </w:pPr>
      <w:r w:rsidRPr="00951306">
        <w:rPr>
          <w:rStyle w:val="FootnoteReference"/>
          <w:sz w:val="16"/>
        </w:rPr>
        <w:footnoteRef/>
      </w:r>
      <w:r w:rsidRPr="00951306">
        <w:rPr>
          <w:sz w:val="16"/>
          <w:szCs w:val="16"/>
        </w:rPr>
        <w:t xml:space="preserve"> </w:t>
      </w:r>
      <w:r w:rsidRPr="00951306">
        <w:rPr>
          <w:sz w:val="16"/>
          <w:szCs w:val="16"/>
          <w:lang w:val="mi-NZ"/>
        </w:rPr>
        <w:t xml:space="preserve">Pre-1 </w:t>
      </w:r>
      <w:proofErr w:type="spellStart"/>
      <w:r w:rsidRPr="00951306">
        <w:rPr>
          <w:sz w:val="16"/>
          <w:szCs w:val="16"/>
          <w:lang w:val="mi-NZ"/>
        </w:rPr>
        <w:t>July</w:t>
      </w:r>
      <w:proofErr w:type="spellEnd"/>
      <w:r w:rsidRPr="00951306">
        <w:rPr>
          <w:sz w:val="16"/>
          <w:szCs w:val="16"/>
          <w:lang w:val="mi-NZ"/>
        </w:rPr>
        <w:t xml:space="preserve"> 2022.</w:t>
      </w:r>
    </w:p>
  </w:footnote>
  <w:footnote w:id="8">
    <w:p w14:paraId="12DFA4D3" w14:textId="77777777" w:rsidR="00F24F6F" w:rsidRPr="00951306" w:rsidRDefault="00F24F6F" w:rsidP="00951306">
      <w:pPr>
        <w:pStyle w:val="FootnoteText"/>
        <w:spacing w:line="276" w:lineRule="auto"/>
        <w:rPr>
          <w:sz w:val="16"/>
          <w:szCs w:val="16"/>
          <w:lang w:val="mi-NZ"/>
        </w:rPr>
      </w:pPr>
      <w:r w:rsidRPr="00951306">
        <w:rPr>
          <w:rStyle w:val="FootnoteReference"/>
          <w:sz w:val="16"/>
        </w:rPr>
        <w:footnoteRef/>
      </w:r>
      <w:r w:rsidRPr="00951306">
        <w:rPr>
          <w:sz w:val="16"/>
          <w:szCs w:val="16"/>
        </w:rPr>
        <w:t xml:space="preserve"> Manat</w:t>
      </w:r>
      <w:r w:rsidRPr="00951306">
        <w:rPr>
          <w:sz w:val="16"/>
          <w:szCs w:val="16"/>
          <w:lang w:val="mi-NZ"/>
        </w:rPr>
        <w:t xml:space="preserve">ū </w:t>
      </w:r>
      <w:proofErr w:type="spellStart"/>
      <w:r w:rsidRPr="00951306">
        <w:rPr>
          <w:sz w:val="16"/>
          <w:szCs w:val="16"/>
          <w:lang w:val="mi-NZ"/>
        </w:rPr>
        <w:t>Hauora’s</w:t>
      </w:r>
      <w:proofErr w:type="spellEnd"/>
      <w:r w:rsidRPr="00951306">
        <w:rPr>
          <w:sz w:val="16"/>
          <w:szCs w:val="16"/>
          <w:lang w:val="mi-NZ"/>
        </w:rPr>
        <w:t xml:space="preserve"> </w:t>
      </w:r>
      <w:proofErr w:type="spellStart"/>
      <w:r w:rsidRPr="00951306">
        <w:rPr>
          <w:sz w:val="16"/>
          <w:szCs w:val="16"/>
          <w:lang w:val="mi-NZ"/>
        </w:rPr>
        <w:t>analysis</w:t>
      </w:r>
      <w:proofErr w:type="spellEnd"/>
      <w:r w:rsidRPr="00951306">
        <w:rPr>
          <w:sz w:val="16"/>
          <w:szCs w:val="16"/>
          <w:lang w:val="mi-NZ"/>
        </w:rPr>
        <w:t xml:space="preserve"> </w:t>
      </w:r>
      <w:proofErr w:type="spellStart"/>
      <w:r w:rsidRPr="00951306">
        <w:rPr>
          <w:sz w:val="16"/>
          <w:szCs w:val="16"/>
          <w:lang w:val="mi-NZ"/>
        </w:rPr>
        <w:t>shows</w:t>
      </w:r>
      <w:proofErr w:type="spellEnd"/>
      <w:r w:rsidRPr="00951306">
        <w:rPr>
          <w:sz w:val="16"/>
          <w:szCs w:val="16"/>
          <w:lang w:val="mi-NZ"/>
        </w:rPr>
        <w:t xml:space="preserve"> 28 DSS </w:t>
      </w:r>
      <w:proofErr w:type="spellStart"/>
      <w:r w:rsidRPr="00951306">
        <w:rPr>
          <w:sz w:val="16"/>
          <w:szCs w:val="16"/>
          <w:lang w:val="mi-NZ"/>
        </w:rPr>
        <w:t>under</w:t>
      </w:r>
      <w:proofErr w:type="spellEnd"/>
      <w:r w:rsidRPr="00951306">
        <w:rPr>
          <w:sz w:val="16"/>
          <w:szCs w:val="16"/>
          <w:lang w:val="mi-NZ"/>
        </w:rPr>
        <w:t xml:space="preserve"> 70 </w:t>
      </w:r>
      <w:proofErr w:type="spellStart"/>
      <w:r w:rsidRPr="00951306">
        <w:rPr>
          <w:sz w:val="16"/>
          <w:szCs w:val="16"/>
          <w:lang w:val="mi-NZ"/>
        </w:rPr>
        <w:t>clients</w:t>
      </w:r>
      <w:proofErr w:type="spellEnd"/>
      <w:r w:rsidRPr="00951306">
        <w:rPr>
          <w:sz w:val="16"/>
          <w:szCs w:val="16"/>
          <w:lang w:val="mi-NZ"/>
        </w:rPr>
        <w:t xml:space="preserve"> </w:t>
      </w:r>
      <w:proofErr w:type="spellStart"/>
      <w:r w:rsidRPr="00951306">
        <w:rPr>
          <w:sz w:val="16"/>
          <w:szCs w:val="16"/>
          <w:lang w:val="mi-NZ"/>
        </w:rPr>
        <w:t>died</w:t>
      </w:r>
      <w:proofErr w:type="spellEnd"/>
      <w:r w:rsidRPr="00951306">
        <w:rPr>
          <w:sz w:val="16"/>
          <w:szCs w:val="16"/>
          <w:lang w:val="mi-NZ"/>
        </w:rPr>
        <w:t xml:space="preserve"> </w:t>
      </w:r>
      <w:proofErr w:type="spellStart"/>
      <w:r w:rsidRPr="00951306">
        <w:rPr>
          <w:sz w:val="16"/>
          <w:szCs w:val="16"/>
          <w:lang w:val="mi-NZ"/>
        </w:rPr>
        <w:t>with</w:t>
      </w:r>
      <w:proofErr w:type="spellEnd"/>
      <w:r w:rsidRPr="00951306">
        <w:rPr>
          <w:sz w:val="16"/>
          <w:szCs w:val="16"/>
          <w:lang w:val="mi-NZ"/>
        </w:rPr>
        <w:t xml:space="preserve"> or </w:t>
      </w:r>
      <w:proofErr w:type="spellStart"/>
      <w:r w:rsidRPr="00951306">
        <w:rPr>
          <w:sz w:val="16"/>
          <w:szCs w:val="16"/>
          <w:lang w:val="mi-NZ"/>
        </w:rPr>
        <w:t>of</w:t>
      </w:r>
      <w:proofErr w:type="spellEnd"/>
      <w:r w:rsidRPr="00951306">
        <w:rPr>
          <w:sz w:val="16"/>
          <w:szCs w:val="16"/>
          <w:lang w:val="mi-NZ"/>
        </w:rPr>
        <w:t xml:space="preserve"> COVID-19, </w:t>
      </w:r>
      <w:proofErr w:type="spellStart"/>
      <w:r w:rsidRPr="00951306">
        <w:rPr>
          <w:sz w:val="16"/>
          <w:szCs w:val="16"/>
          <w:lang w:val="mi-NZ"/>
        </w:rPr>
        <w:t>however</w:t>
      </w:r>
      <w:proofErr w:type="spellEnd"/>
      <w:r w:rsidRPr="00951306">
        <w:rPr>
          <w:sz w:val="16"/>
          <w:szCs w:val="16"/>
          <w:lang w:val="mi-NZ"/>
        </w:rPr>
        <w:t xml:space="preserve"> Whaikaha </w:t>
      </w:r>
      <w:proofErr w:type="spellStart"/>
      <w:r w:rsidRPr="00951306">
        <w:rPr>
          <w:sz w:val="16"/>
          <w:szCs w:val="16"/>
          <w:lang w:val="mi-NZ"/>
        </w:rPr>
        <w:t>has</w:t>
      </w:r>
      <w:proofErr w:type="spellEnd"/>
      <w:r w:rsidRPr="00951306">
        <w:rPr>
          <w:sz w:val="16"/>
          <w:szCs w:val="16"/>
          <w:lang w:val="mi-NZ"/>
        </w:rPr>
        <w:t xml:space="preserve"> </w:t>
      </w:r>
      <w:proofErr w:type="spellStart"/>
      <w:r w:rsidRPr="00951306">
        <w:rPr>
          <w:sz w:val="16"/>
          <w:szCs w:val="16"/>
          <w:lang w:val="mi-NZ"/>
        </w:rPr>
        <w:t>determined</w:t>
      </w:r>
      <w:proofErr w:type="spellEnd"/>
      <w:r w:rsidRPr="00951306">
        <w:rPr>
          <w:sz w:val="16"/>
          <w:szCs w:val="16"/>
          <w:lang w:val="mi-NZ"/>
        </w:rPr>
        <w:t xml:space="preserve"> one </w:t>
      </w:r>
      <w:proofErr w:type="spellStart"/>
      <w:r w:rsidRPr="00951306">
        <w:rPr>
          <w:sz w:val="16"/>
          <w:szCs w:val="16"/>
          <w:lang w:val="mi-NZ"/>
        </w:rPr>
        <w:t>of</w:t>
      </w:r>
      <w:proofErr w:type="spellEnd"/>
      <w:r w:rsidRPr="00951306">
        <w:rPr>
          <w:sz w:val="16"/>
          <w:szCs w:val="16"/>
          <w:lang w:val="mi-NZ"/>
        </w:rPr>
        <w:t xml:space="preserve"> </w:t>
      </w:r>
      <w:proofErr w:type="spellStart"/>
      <w:r w:rsidRPr="00951306">
        <w:rPr>
          <w:sz w:val="16"/>
          <w:szCs w:val="16"/>
          <w:lang w:val="mi-NZ"/>
        </w:rPr>
        <w:t>these</w:t>
      </w:r>
      <w:proofErr w:type="spellEnd"/>
      <w:r w:rsidRPr="00951306">
        <w:rPr>
          <w:sz w:val="16"/>
          <w:szCs w:val="16"/>
          <w:lang w:val="mi-NZ"/>
        </w:rPr>
        <w:t xml:space="preserve"> </w:t>
      </w:r>
      <w:proofErr w:type="spellStart"/>
      <w:r w:rsidRPr="00951306">
        <w:rPr>
          <w:sz w:val="16"/>
          <w:szCs w:val="16"/>
          <w:lang w:val="mi-NZ"/>
        </w:rPr>
        <w:t>clients</w:t>
      </w:r>
      <w:proofErr w:type="spellEnd"/>
      <w:r w:rsidRPr="00951306">
        <w:rPr>
          <w:sz w:val="16"/>
          <w:szCs w:val="16"/>
          <w:lang w:val="mi-NZ"/>
        </w:rPr>
        <w:t xml:space="preserve"> </w:t>
      </w:r>
      <w:proofErr w:type="spellStart"/>
      <w:r w:rsidRPr="00951306">
        <w:rPr>
          <w:sz w:val="16"/>
          <w:szCs w:val="16"/>
          <w:lang w:val="mi-NZ"/>
        </w:rPr>
        <w:t>was</w:t>
      </w:r>
      <w:proofErr w:type="spellEnd"/>
      <w:r w:rsidRPr="00951306">
        <w:rPr>
          <w:sz w:val="16"/>
          <w:szCs w:val="16"/>
          <w:lang w:val="mi-NZ"/>
        </w:rPr>
        <w:t xml:space="preserve"> </w:t>
      </w:r>
      <w:proofErr w:type="spellStart"/>
      <w:r w:rsidRPr="00951306">
        <w:rPr>
          <w:sz w:val="16"/>
          <w:szCs w:val="16"/>
          <w:lang w:val="mi-NZ"/>
        </w:rPr>
        <w:t>older</w:t>
      </w:r>
      <w:proofErr w:type="spellEnd"/>
      <w:r w:rsidRPr="00951306">
        <w:rPr>
          <w:sz w:val="16"/>
          <w:szCs w:val="16"/>
          <w:lang w:val="mi-NZ"/>
        </w:rPr>
        <w:t xml:space="preserve"> </w:t>
      </w:r>
      <w:proofErr w:type="spellStart"/>
      <w:r w:rsidRPr="00951306">
        <w:rPr>
          <w:sz w:val="16"/>
          <w:szCs w:val="16"/>
          <w:lang w:val="mi-NZ"/>
        </w:rPr>
        <w:t>than</w:t>
      </w:r>
      <w:proofErr w:type="spellEnd"/>
      <w:r w:rsidRPr="00951306">
        <w:rPr>
          <w:sz w:val="16"/>
          <w:szCs w:val="16"/>
          <w:lang w:val="mi-NZ"/>
        </w:rPr>
        <w:t xml:space="preserve"> 70. </w:t>
      </w:r>
      <w:r w:rsidRPr="00951306">
        <w:rPr>
          <w:sz w:val="16"/>
          <w:szCs w:val="16"/>
          <w:lang w:val="mi-NZ"/>
        </w:rPr>
        <w:t xml:space="preserve">For </w:t>
      </w:r>
      <w:proofErr w:type="spellStart"/>
      <w:r w:rsidRPr="00951306">
        <w:rPr>
          <w:sz w:val="16"/>
          <w:szCs w:val="16"/>
          <w:lang w:val="mi-NZ"/>
        </w:rPr>
        <w:t>this</w:t>
      </w:r>
      <w:proofErr w:type="spellEnd"/>
      <w:r w:rsidRPr="00951306">
        <w:rPr>
          <w:sz w:val="16"/>
          <w:szCs w:val="16"/>
          <w:lang w:val="mi-NZ"/>
        </w:rPr>
        <w:t xml:space="preserve"> </w:t>
      </w:r>
      <w:proofErr w:type="spellStart"/>
      <w:r w:rsidRPr="00951306">
        <w:rPr>
          <w:sz w:val="16"/>
          <w:szCs w:val="16"/>
          <w:lang w:val="mi-NZ"/>
        </w:rPr>
        <w:t>reason</w:t>
      </w:r>
      <w:proofErr w:type="spellEnd"/>
      <w:r w:rsidRPr="00951306">
        <w:rPr>
          <w:sz w:val="16"/>
          <w:szCs w:val="16"/>
          <w:lang w:val="mi-NZ"/>
        </w:rPr>
        <w:t xml:space="preserve">, </w:t>
      </w:r>
      <w:proofErr w:type="spellStart"/>
      <w:r w:rsidRPr="00951306">
        <w:rPr>
          <w:sz w:val="16"/>
          <w:szCs w:val="16"/>
          <w:lang w:val="mi-NZ"/>
        </w:rPr>
        <w:t>Whaikah</w:t>
      </w:r>
      <w:proofErr w:type="spellEnd"/>
      <w:r w:rsidRPr="00951306">
        <w:rPr>
          <w:sz w:val="16"/>
          <w:szCs w:val="16"/>
          <w:lang w:val="mi-NZ"/>
        </w:rPr>
        <w:t xml:space="preserve"> </w:t>
      </w:r>
      <w:proofErr w:type="spellStart"/>
      <w:r w:rsidRPr="00951306">
        <w:rPr>
          <w:sz w:val="16"/>
          <w:szCs w:val="16"/>
          <w:lang w:val="mi-NZ"/>
        </w:rPr>
        <w:t>has</w:t>
      </w:r>
      <w:proofErr w:type="spellEnd"/>
      <w:r w:rsidRPr="00951306">
        <w:rPr>
          <w:sz w:val="16"/>
          <w:szCs w:val="16"/>
          <w:lang w:val="mi-NZ"/>
        </w:rPr>
        <w:t xml:space="preserve"> </w:t>
      </w:r>
      <w:proofErr w:type="spellStart"/>
      <w:r w:rsidRPr="00951306">
        <w:rPr>
          <w:sz w:val="16"/>
          <w:szCs w:val="16"/>
          <w:lang w:val="mi-NZ"/>
        </w:rPr>
        <w:t>reported</w:t>
      </w:r>
      <w:proofErr w:type="spellEnd"/>
      <w:r w:rsidRPr="00951306">
        <w:rPr>
          <w:sz w:val="16"/>
          <w:szCs w:val="16"/>
          <w:lang w:val="mi-NZ"/>
        </w:rPr>
        <w:t xml:space="preserve"> 27 DSS </w:t>
      </w:r>
      <w:proofErr w:type="spellStart"/>
      <w:r w:rsidRPr="00951306">
        <w:rPr>
          <w:sz w:val="16"/>
          <w:szCs w:val="16"/>
          <w:lang w:val="mi-NZ"/>
        </w:rPr>
        <w:t>clients</w:t>
      </w:r>
      <w:proofErr w:type="spellEnd"/>
      <w:r w:rsidRPr="00951306">
        <w:rPr>
          <w:sz w:val="16"/>
          <w:szCs w:val="16"/>
          <w:lang w:val="mi-NZ"/>
        </w:rPr>
        <w:t xml:space="preserve"> </w:t>
      </w:r>
      <w:proofErr w:type="spellStart"/>
      <w:r w:rsidRPr="00951306">
        <w:rPr>
          <w:sz w:val="16"/>
          <w:szCs w:val="16"/>
          <w:lang w:val="mi-NZ"/>
        </w:rPr>
        <w:t>died</w:t>
      </w:r>
      <w:proofErr w:type="spellEnd"/>
      <w:r w:rsidRPr="00951306">
        <w:rPr>
          <w:sz w:val="16"/>
          <w:szCs w:val="16"/>
          <w:lang w:val="mi-NZ"/>
        </w:rPr>
        <w:t xml:space="preserve"> </w:t>
      </w:r>
      <w:proofErr w:type="spellStart"/>
      <w:r w:rsidRPr="00951306">
        <w:rPr>
          <w:sz w:val="16"/>
          <w:szCs w:val="16"/>
          <w:lang w:val="mi-NZ"/>
        </w:rPr>
        <w:t>with</w:t>
      </w:r>
      <w:proofErr w:type="spellEnd"/>
      <w:r w:rsidRPr="00951306">
        <w:rPr>
          <w:sz w:val="16"/>
          <w:szCs w:val="16"/>
          <w:lang w:val="mi-NZ"/>
        </w:rPr>
        <w:t xml:space="preserve"> or </w:t>
      </w:r>
      <w:proofErr w:type="spellStart"/>
      <w:r w:rsidRPr="00951306">
        <w:rPr>
          <w:sz w:val="16"/>
          <w:szCs w:val="16"/>
          <w:lang w:val="mi-NZ"/>
        </w:rPr>
        <w:t>of</w:t>
      </w:r>
      <w:proofErr w:type="spellEnd"/>
      <w:r w:rsidRPr="00951306">
        <w:rPr>
          <w:sz w:val="16"/>
          <w:szCs w:val="16"/>
          <w:lang w:val="mi-NZ"/>
        </w:rPr>
        <w:t xml:space="preserve">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EBD4" w14:textId="72BD3E17" w:rsidR="00951306" w:rsidRDefault="00951306">
    <w:pPr>
      <w:pStyle w:val="Header"/>
    </w:pPr>
  </w:p>
  <w:p w14:paraId="2F247CF0" w14:textId="77777777" w:rsidR="00951306" w:rsidRDefault="00951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0548" w14:textId="6103E453" w:rsidR="00951306" w:rsidRDefault="00951306">
    <w:pPr>
      <w:pStyle w:val="Header"/>
    </w:pPr>
    <w:r>
      <w:rPr>
        <w:noProof/>
        <w:lang w:eastAsia="en-NZ"/>
      </w:rPr>
      <w:drawing>
        <wp:inline distT="0" distB="0" distL="0" distR="0" wp14:anchorId="6D5B3A9D" wp14:editId="0804110E">
          <wp:extent cx="5731510" cy="659130"/>
          <wp:effectExtent l="0" t="0" r="2540" b="7620"/>
          <wp:docPr id="8" name="Picture 8" descr="The Whaikaha logo with a tohu design with the words Whaikaha - Ministry of Disabled People in a light contrast colour  against a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he Whaikaha logo with a tohu design with the words Whaikaha - Ministry of Disabled People in a light contrast colour  against a purple background."/>
                  <pic:cNvPicPr/>
                </pic:nvPicPr>
                <pic:blipFill>
                  <a:blip r:embed="rId1">
                    <a:extLst>
                      <a:ext uri="{28A0092B-C50C-407E-A947-70E740481C1C}">
                        <a14:useLocalDpi xmlns:a14="http://schemas.microsoft.com/office/drawing/2010/main" val="0"/>
                      </a:ext>
                    </a:extLst>
                  </a:blip>
                  <a:stretch>
                    <a:fillRect/>
                  </a:stretch>
                </pic:blipFill>
                <pic:spPr>
                  <a:xfrm>
                    <a:off x="0" y="0"/>
                    <a:ext cx="5731510" cy="659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B0AD34"/>
    <w:multiLevelType w:val="hybridMultilevel"/>
    <w:tmpl w:val="FFFFFFFF"/>
    <w:lvl w:ilvl="0" w:tplc="3CB8D156">
      <w:start w:val="1"/>
      <w:numFmt w:val="bullet"/>
      <w:lvlText w:val=""/>
      <w:lvlJc w:val="left"/>
      <w:pPr>
        <w:ind w:left="720" w:hanging="360"/>
      </w:pPr>
      <w:rPr>
        <w:rFonts w:ascii="Symbol" w:hAnsi="Symbol" w:hint="default"/>
      </w:rPr>
    </w:lvl>
    <w:lvl w:ilvl="1" w:tplc="837CD398">
      <w:start w:val="1"/>
      <w:numFmt w:val="bullet"/>
      <w:lvlText w:val="o"/>
      <w:lvlJc w:val="left"/>
      <w:pPr>
        <w:ind w:left="1440" w:hanging="360"/>
      </w:pPr>
      <w:rPr>
        <w:rFonts w:ascii="Courier New" w:hAnsi="Courier New" w:hint="default"/>
      </w:rPr>
    </w:lvl>
    <w:lvl w:ilvl="2" w:tplc="2FC628A4">
      <w:start w:val="1"/>
      <w:numFmt w:val="bullet"/>
      <w:lvlText w:val=""/>
      <w:lvlJc w:val="left"/>
      <w:pPr>
        <w:ind w:left="2160" w:hanging="360"/>
      </w:pPr>
      <w:rPr>
        <w:rFonts w:ascii="Wingdings" w:hAnsi="Wingdings" w:hint="default"/>
      </w:rPr>
    </w:lvl>
    <w:lvl w:ilvl="3" w:tplc="9970EFBA">
      <w:start w:val="1"/>
      <w:numFmt w:val="bullet"/>
      <w:lvlText w:val=""/>
      <w:lvlJc w:val="left"/>
      <w:pPr>
        <w:ind w:left="2880" w:hanging="360"/>
      </w:pPr>
      <w:rPr>
        <w:rFonts w:ascii="Symbol" w:hAnsi="Symbol" w:hint="default"/>
      </w:rPr>
    </w:lvl>
    <w:lvl w:ilvl="4" w:tplc="5DDC5DBA">
      <w:start w:val="1"/>
      <w:numFmt w:val="bullet"/>
      <w:lvlText w:val="o"/>
      <w:lvlJc w:val="left"/>
      <w:pPr>
        <w:ind w:left="3600" w:hanging="360"/>
      </w:pPr>
      <w:rPr>
        <w:rFonts w:ascii="Courier New" w:hAnsi="Courier New" w:hint="default"/>
      </w:rPr>
    </w:lvl>
    <w:lvl w:ilvl="5" w:tplc="FB48A4FE">
      <w:start w:val="1"/>
      <w:numFmt w:val="bullet"/>
      <w:lvlText w:val=""/>
      <w:lvlJc w:val="left"/>
      <w:pPr>
        <w:ind w:left="4320" w:hanging="360"/>
      </w:pPr>
      <w:rPr>
        <w:rFonts w:ascii="Wingdings" w:hAnsi="Wingdings" w:hint="default"/>
      </w:rPr>
    </w:lvl>
    <w:lvl w:ilvl="6" w:tplc="4D063E4C">
      <w:start w:val="1"/>
      <w:numFmt w:val="bullet"/>
      <w:lvlText w:val=""/>
      <w:lvlJc w:val="left"/>
      <w:pPr>
        <w:ind w:left="5040" w:hanging="360"/>
      </w:pPr>
      <w:rPr>
        <w:rFonts w:ascii="Symbol" w:hAnsi="Symbol" w:hint="default"/>
      </w:rPr>
    </w:lvl>
    <w:lvl w:ilvl="7" w:tplc="42EA7862">
      <w:start w:val="1"/>
      <w:numFmt w:val="bullet"/>
      <w:lvlText w:val="o"/>
      <w:lvlJc w:val="left"/>
      <w:pPr>
        <w:ind w:left="5760" w:hanging="360"/>
      </w:pPr>
      <w:rPr>
        <w:rFonts w:ascii="Courier New" w:hAnsi="Courier New" w:hint="default"/>
      </w:rPr>
    </w:lvl>
    <w:lvl w:ilvl="8" w:tplc="A6B4E8C8">
      <w:start w:val="1"/>
      <w:numFmt w:val="bullet"/>
      <w:lvlText w:val=""/>
      <w:lvlJc w:val="left"/>
      <w:pPr>
        <w:ind w:left="6480" w:hanging="360"/>
      </w:pPr>
      <w:rPr>
        <w:rFonts w:ascii="Wingdings" w:hAnsi="Wingdings" w:hint="default"/>
      </w:rPr>
    </w:lvl>
  </w:abstractNum>
  <w:abstractNum w:abstractNumId="3" w15:restartNumberingAfterBreak="0">
    <w:nsid w:val="0AA04CDB"/>
    <w:multiLevelType w:val="multilevel"/>
    <w:tmpl w:val="65026AEE"/>
    <w:lvl w:ilvl="0">
      <w:start w:val="1"/>
      <w:numFmt w:val="decimal"/>
      <w:pStyle w:val="RecLevel1"/>
      <w:lvlText w:val="%1"/>
      <w:lvlJc w:val="left"/>
      <w:pPr>
        <w:ind w:left="360" w:hanging="360"/>
      </w:pPr>
      <w:rPr>
        <w:rFonts w:ascii="Verdana" w:hAnsi="Verdana" w:hint="default"/>
        <w:sz w:val="22"/>
      </w:rPr>
    </w:lvl>
    <w:lvl w:ilvl="1">
      <w:start w:val="1"/>
      <w:numFmt w:val="decimal"/>
      <w:pStyle w:val="RecLevel2"/>
      <w:lvlText w:val="%1.%2"/>
      <w:lvlJc w:val="left"/>
      <w:pPr>
        <w:tabs>
          <w:tab w:val="num" w:pos="907"/>
        </w:tabs>
        <w:ind w:left="907" w:hanging="547"/>
      </w:pPr>
      <w:rPr>
        <w:rFonts w:ascii="Verdana" w:hAnsi="Verdana" w:hint="default"/>
        <w:sz w:val="22"/>
      </w:rPr>
    </w:lvl>
    <w:lvl w:ilvl="2">
      <w:start w:val="1"/>
      <w:numFmt w:val="decimal"/>
      <w:lvlText w:val="%1.%2.%3"/>
      <w:lvlJc w:val="left"/>
      <w:pPr>
        <w:ind w:left="1701" w:hanging="794"/>
      </w:pPr>
      <w:rPr>
        <w:rFonts w:ascii="Verdana" w:hAnsi="Verdana" w:hint="default"/>
        <w:sz w:val="22"/>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20C1506F"/>
    <w:multiLevelType w:val="multilevel"/>
    <w:tmpl w:val="090EB9D8"/>
    <w:lvl w:ilvl="0">
      <w:start w:val="1"/>
      <w:numFmt w:val="decimal"/>
      <w:lvlText w:val="%1"/>
      <w:lvlJc w:val="left"/>
      <w:pPr>
        <w:ind w:left="360" w:hanging="360"/>
      </w:pPr>
      <w:rPr>
        <w:rFonts w:ascii="Verdana" w:hAnsi="Verdana" w:hint="default"/>
        <w:sz w:val="22"/>
      </w:rPr>
    </w:lvl>
    <w:lvl w:ilvl="1">
      <w:start w:val="1"/>
      <w:numFmt w:val="bullet"/>
      <w:lvlText w:val=""/>
      <w:lvlJc w:val="left"/>
      <w:pPr>
        <w:tabs>
          <w:tab w:val="num" w:pos="907"/>
        </w:tabs>
        <w:ind w:left="907" w:hanging="547"/>
      </w:pPr>
      <w:rPr>
        <w:rFonts w:ascii="Symbol" w:hAnsi="Symbol" w:hint="default"/>
        <w:sz w:val="22"/>
      </w:rPr>
    </w:lvl>
    <w:lvl w:ilvl="2">
      <w:start w:val="1"/>
      <w:numFmt w:val="decimal"/>
      <w:lvlText w:val="%1.%2.%3"/>
      <w:lvlJc w:val="left"/>
      <w:pPr>
        <w:ind w:left="1701" w:hanging="794"/>
      </w:pPr>
      <w:rPr>
        <w:rFonts w:ascii="Verdana" w:hAnsi="Verdana" w:hint="default"/>
        <w:sz w:val="22"/>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4D48A9"/>
    <w:multiLevelType w:val="hybridMultilevel"/>
    <w:tmpl w:val="FFFFFFFF"/>
    <w:lvl w:ilvl="0" w:tplc="F3A46C60">
      <w:start w:val="1"/>
      <w:numFmt w:val="bullet"/>
      <w:lvlText w:val=""/>
      <w:lvlJc w:val="left"/>
      <w:pPr>
        <w:ind w:left="720" w:hanging="360"/>
      </w:pPr>
      <w:rPr>
        <w:rFonts w:ascii="Symbol" w:hAnsi="Symbol" w:hint="default"/>
      </w:rPr>
    </w:lvl>
    <w:lvl w:ilvl="1" w:tplc="0194024A">
      <w:start w:val="1"/>
      <w:numFmt w:val="bullet"/>
      <w:lvlText w:val="o"/>
      <w:lvlJc w:val="left"/>
      <w:pPr>
        <w:ind w:left="1440" w:hanging="360"/>
      </w:pPr>
      <w:rPr>
        <w:rFonts w:ascii="Courier New" w:hAnsi="Courier New" w:hint="default"/>
      </w:rPr>
    </w:lvl>
    <w:lvl w:ilvl="2" w:tplc="15187E10">
      <w:start w:val="1"/>
      <w:numFmt w:val="bullet"/>
      <w:lvlText w:val=""/>
      <w:lvlJc w:val="left"/>
      <w:pPr>
        <w:ind w:left="2160" w:hanging="360"/>
      </w:pPr>
      <w:rPr>
        <w:rFonts w:ascii="Wingdings" w:hAnsi="Wingdings" w:hint="default"/>
      </w:rPr>
    </w:lvl>
    <w:lvl w:ilvl="3" w:tplc="96D4DB5C">
      <w:start w:val="1"/>
      <w:numFmt w:val="bullet"/>
      <w:lvlText w:val=""/>
      <w:lvlJc w:val="left"/>
      <w:pPr>
        <w:ind w:left="2880" w:hanging="360"/>
      </w:pPr>
      <w:rPr>
        <w:rFonts w:ascii="Symbol" w:hAnsi="Symbol" w:hint="default"/>
      </w:rPr>
    </w:lvl>
    <w:lvl w:ilvl="4" w:tplc="F0F80D68">
      <w:start w:val="1"/>
      <w:numFmt w:val="bullet"/>
      <w:lvlText w:val="o"/>
      <w:lvlJc w:val="left"/>
      <w:pPr>
        <w:ind w:left="3600" w:hanging="360"/>
      </w:pPr>
      <w:rPr>
        <w:rFonts w:ascii="Courier New" w:hAnsi="Courier New" w:hint="default"/>
      </w:rPr>
    </w:lvl>
    <w:lvl w:ilvl="5" w:tplc="9A52B366">
      <w:start w:val="1"/>
      <w:numFmt w:val="bullet"/>
      <w:lvlText w:val=""/>
      <w:lvlJc w:val="left"/>
      <w:pPr>
        <w:ind w:left="4320" w:hanging="360"/>
      </w:pPr>
      <w:rPr>
        <w:rFonts w:ascii="Wingdings" w:hAnsi="Wingdings" w:hint="default"/>
      </w:rPr>
    </w:lvl>
    <w:lvl w:ilvl="6" w:tplc="C04E0330">
      <w:start w:val="1"/>
      <w:numFmt w:val="bullet"/>
      <w:lvlText w:val=""/>
      <w:lvlJc w:val="left"/>
      <w:pPr>
        <w:ind w:left="5040" w:hanging="360"/>
      </w:pPr>
      <w:rPr>
        <w:rFonts w:ascii="Symbol" w:hAnsi="Symbol" w:hint="default"/>
      </w:rPr>
    </w:lvl>
    <w:lvl w:ilvl="7" w:tplc="A08A4D9E">
      <w:start w:val="1"/>
      <w:numFmt w:val="bullet"/>
      <w:lvlText w:val="o"/>
      <w:lvlJc w:val="left"/>
      <w:pPr>
        <w:ind w:left="5760" w:hanging="360"/>
      </w:pPr>
      <w:rPr>
        <w:rFonts w:ascii="Courier New" w:hAnsi="Courier New" w:hint="default"/>
      </w:rPr>
    </w:lvl>
    <w:lvl w:ilvl="8" w:tplc="10B405F6">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3"/>
  </w:num>
  <w:num w:numId="8">
    <w:abstractNumId w:val="7"/>
  </w:num>
  <w:num w:numId="9">
    <w:abstractNumId w:val="9"/>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79"/>
    <w:rsid w:val="00000B4C"/>
    <w:rsid w:val="00005A60"/>
    <w:rsid w:val="00005BBE"/>
    <w:rsid w:val="000106D0"/>
    <w:rsid w:val="00034336"/>
    <w:rsid w:val="00037CB0"/>
    <w:rsid w:val="000569F2"/>
    <w:rsid w:val="000A576B"/>
    <w:rsid w:val="000E3BB9"/>
    <w:rsid w:val="00104EA7"/>
    <w:rsid w:val="00106AED"/>
    <w:rsid w:val="0012217E"/>
    <w:rsid w:val="001C087C"/>
    <w:rsid w:val="001D3744"/>
    <w:rsid w:val="001D7F1C"/>
    <w:rsid w:val="00213DA6"/>
    <w:rsid w:val="00214513"/>
    <w:rsid w:val="00216302"/>
    <w:rsid w:val="00236D2D"/>
    <w:rsid w:val="00245A2B"/>
    <w:rsid w:val="0025020E"/>
    <w:rsid w:val="00293608"/>
    <w:rsid w:val="002B33E1"/>
    <w:rsid w:val="002D1C62"/>
    <w:rsid w:val="002D367B"/>
    <w:rsid w:val="00354EC2"/>
    <w:rsid w:val="00397220"/>
    <w:rsid w:val="003B0A38"/>
    <w:rsid w:val="003B27D2"/>
    <w:rsid w:val="003E2869"/>
    <w:rsid w:val="003E3722"/>
    <w:rsid w:val="004227ED"/>
    <w:rsid w:val="00433B5E"/>
    <w:rsid w:val="00445BCE"/>
    <w:rsid w:val="00454F25"/>
    <w:rsid w:val="004710B8"/>
    <w:rsid w:val="004E2F27"/>
    <w:rsid w:val="005110CB"/>
    <w:rsid w:val="00533E65"/>
    <w:rsid w:val="0056681E"/>
    <w:rsid w:val="00572AA9"/>
    <w:rsid w:val="00587142"/>
    <w:rsid w:val="00595906"/>
    <w:rsid w:val="005B11F9"/>
    <w:rsid w:val="00631D73"/>
    <w:rsid w:val="006666B3"/>
    <w:rsid w:val="006B19BD"/>
    <w:rsid w:val="006C5798"/>
    <w:rsid w:val="00737E17"/>
    <w:rsid w:val="007B201A"/>
    <w:rsid w:val="007C2143"/>
    <w:rsid w:val="007F3ACD"/>
    <w:rsid w:val="0080133F"/>
    <w:rsid w:val="0080498F"/>
    <w:rsid w:val="00847C93"/>
    <w:rsid w:val="00860654"/>
    <w:rsid w:val="00894E92"/>
    <w:rsid w:val="009022C7"/>
    <w:rsid w:val="00903467"/>
    <w:rsid w:val="00906EAA"/>
    <w:rsid w:val="00951306"/>
    <w:rsid w:val="00951555"/>
    <w:rsid w:val="00966130"/>
    <w:rsid w:val="00970DD2"/>
    <w:rsid w:val="00973499"/>
    <w:rsid w:val="009C3E2D"/>
    <w:rsid w:val="009D15F1"/>
    <w:rsid w:val="009D2B10"/>
    <w:rsid w:val="009D6B5B"/>
    <w:rsid w:val="00A2199C"/>
    <w:rsid w:val="00A43896"/>
    <w:rsid w:val="00A476DE"/>
    <w:rsid w:val="00A6244E"/>
    <w:rsid w:val="00A87343"/>
    <w:rsid w:val="00AB32BE"/>
    <w:rsid w:val="00B349FA"/>
    <w:rsid w:val="00B41635"/>
    <w:rsid w:val="00B5357A"/>
    <w:rsid w:val="00B56306"/>
    <w:rsid w:val="00BC0279"/>
    <w:rsid w:val="00BC2B06"/>
    <w:rsid w:val="00BE540C"/>
    <w:rsid w:val="00C36A2C"/>
    <w:rsid w:val="00C45577"/>
    <w:rsid w:val="00C503A7"/>
    <w:rsid w:val="00C5215F"/>
    <w:rsid w:val="00C71951"/>
    <w:rsid w:val="00C92751"/>
    <w:rsid w:val="00CB4A28"/>
    <w:rsid w:val="00D34EA0"/>
    <w:rsid w:val="00DD04A5"/>
    <w:rsid w:val="00DD6907"/>
    <w:rsid w:val="00DD7526"/>
    <w:rsid w:val="00DF50E1"/>
    <w:rsid w:val="00E01D6A"/>
    <w:rsid w:val="00E14209"/>
    <w:rsid w:val="00E56A79"/>
    <w:rsid w:val="00E671C3"/>
    <w:rsid w:val="00E90142"/>
    <w:rsid w:val="00E9269E"/>
    <w:rsid w:val="00EA5D42"/>
    <w:rsid w:val="00F03FBF"/>
    <w:rsid w:val="00F04460"/>
    <w:rsid w:val="00F06EE8"/>
    <w:rsid w:val="00F07349"/>
    <w:rsid w:val="00F113EF"/>
    <w:rsid w:val="00F126F3"/>
    <w:rsid w:val="00F17A6F"/>
    <w:rsid w:val="00F22AE5"/>
    <w:rsid w:val="00F24F6F"/>
    <w:rsid w:val="00F829C0"/>
    <w:rsid w:val="00F829F6"/>
    <w:rsid w:val="00F8617F"/>
    <w:rsid w:val="05C42FD5"/>
    <w:rsid w:val="05D02874"/>
    <w:rsid w:val="06362446"/>
    <w:rsid w:val="06A3C394"/>
    <w:rsid w:val="06AFD36C"/>
    <w:rsid w:val="0A3628A8"/>
    <w:rsid w:val="0ABD4967"/>
    <w:rsid w:val="0B938347"/>
    <w:rsid w:val="0BE3020A"/>
    <w:rsid w:val="0EB29324"/>
    <w:rsid w:val="10094F85"/>
    <w:rsid w:val="114B101D"/>
    <w:rsid w:val="11FF6174"/>
    <w:rsid w:val="17023751"/>
    <w:rsid w:val="1BCE2090"/>
    <w:rsid w:val="1CD157F2"/>
    <w:rsid w:val="1EC065BC"/>
    <w:rsid w:val="21A7C905"/>
    <w:rsid w:val="23755C45"/>
    <w:rsid w:val="23819FE9"/>
    <w:rsid w:val="26E4131E"/>
    <w:rsid w:val="2745C33D"/>
    <w:rsid w:val="28430154"/>
    <w:rsid w:val="2943762F"/>
    <w:rsid w:val="2A5155F5"/>
    <w:rsid w:val="2B59B3E4"/>
    <w:rsid w:val="2C57D6FA"/>
    <w:rsid w:val="2C700338"/>
    <w:rsid w:val="2E0F5F6E"/>
    <w:rsid w:val="2EF02122"/>
    <w:rsid w:val="2F621593"/>
    <w:rsid w:val="31D7ABA9"/>
    <w:rsid w:val="33DEB2E0"/>
    <w:rsid w:val="3484F9E6"/>
    <w:rsid w:val="34F9E3AF"/>
    <w:rsid w:val="37623AFD"/>
    <w:rsid w:val="397DE0A7"/>
    <w:rsid w:val="39B85B55"/>
    <w:rsid w:val="3A541A87"/>
    <w:rsid w:val="3E4CBF3E"/>
    <w:rsid w:val="3E79BCC0"/>
    <w:rsid w:val="42224D6E"/>
    <w:rsid w:val="42D0BC36"/>
    <w:rsid w:val="44191D58"/>
    <w:rsid w:val="45C2CE91"/>
    <w:rsid w:val="4A2D34E8"/>
    <w:rsid w:val="4C958C36"/>
    <w:rsid w:val="50EBFC5A"/>
    <w:rsid w:val="51617575"/>
    <w:rsid w:val="52423729"/>
    <w:rsid w:val="5404E061"/>
    <w:rsid w:val="54533125"/>
    <w:rsid w:val="590777A2"/>
    <w:rsid w:val="59F5AAEF"/>
    <w:rsid w:val="5B309A78"/>
    <w:rsid w:val="5CD2EC06"/>
    <w:rsid w:val="5FF1FBE3"/>
    <w:rsid w:val="65CBD729"/>
    <w:rsid w:val="6622D23D"/>
    <w:rsid w:val="667CCD41"/>
    <w:rsid w:val="6FE7A23D"/>
    <w:rsid w:val="751ABF6A"/>
    <w:rsid w:val="770D2559"/>
    <w:rsid w:val="77D590B1"/>
    <w:rsid w:val="797F41EA"/>
    <w:rsid w:val="7B9B1A65"/>
    <w:rsid w:val="7E4B2B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79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79"/>
    <w:pPr>
      <w:suppressAutoHyphens/>
      <w:autoSpaceDE w:val="0"/>
      <w:autoSpaceDN w:val="0"/>
      <w:adjustRightInd w:val="0"/>
      <w:spacing w:before="120" w:after="120" w:line="288" w:lineRule="auto"/>
      <w:textAlignment w:val="center"/>
    </w:pPr>
    <w:rPr>
      <w:rFonts w:ascii="Verdana" w:eastAsia="Verdana" w:hAnsi="Verdana" w:cs="Arial"/>
      <w:sz w:val="24"/>
      <w:szCs w:val="24"/>
      <w:lang w:eastAsia="mi-NZ"/>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Table Heading"/>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uiPriority w:val="4"/>
    <w:qFormat/>
    <w:rsid w:val="00F113EF"/>
    <w:pPr>
      <w:numPr>
        <w:numId w:val="6"/>
      </w:numPr>
      <w:tabs>
        <w:tab w:val="left" w:pos="454"/>
      </w:tabs>
      <w:ind w:left="567" w:hanging="567"/>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4"/>
      <w:lang w:eastAsia="mi-NZ"/>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qFormat/>
    <w:rsid w:val="003E3722"/>
    <w:pPr>
      <w:spacing w:after="0" w:line="240" w:lineRule="auto"/>
    </w:pPr>
    <w:rPr>
      <w:sz w:val="18"/>
      <w:szCs w:val="20"/>
    </w:rPr>
  </w:style>
  <w:style w:type="character" w:customStyle="1" w:styleId="FootnoteTextChar">
    <w:name w:val="Footnote Text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basedOn w:val="DefaultParagraphFont"/>
    <w:rsid w:val="00E56A79"/>
    <w:rPr>
      <w:rFonts w:ascii="Verdana" w:hAnsi="Verdana"/>
      <w:sz w:val="18"/>
      <w:szCs w:val="16"/>
      <w:vertAlign w:val="superscript"/>
      <w:lang w:val="en-US" w:eastAsia="x-none" w:bidi="ar-SA"/>
    </w:rPr>
  </w:style>
  <w:style w:type="paragraph" w:customStyle="1" w:styleId="RecLevel2">
    <w:name w:val="Rec Level2"/>
    <w:basedOn w:val="RecLevel1"/>
    <w:uiPriority w:val="1"/>
    <w:qFormat/>
    <w:rsid w:val="00E56A79"/>
    <w:pPr>
      <w:numPr>
        <w:ilvl w:val="1"/>
      </w:numPr>
      <w:tabs>
        <w:tab w:val="clear" w:pos="567"/>
      </w:tabs>
    </w:pPr>
  </w:style>
  <w:style w:type="paragraph" w:customStyle="1" w:styleId="RecLevel1">
    <w:name w:val="Rec Level1"/>
    <w:basedOn w:val="Normal"/>
    <w:link w:val="RecLevel1Char"/>
    <w:uiPriority w:val="1"/>
    <w:qFormat/>
    <w:rsid w:val="00E56A79"/>
    <w:pPr>
      <w:numPr>
        <w:numId w:val="7"/>
      </w:numPr>
      <w:pBdr>
        <w:top w:val="nil"/>
        <w:left w:val="nil"/>
        <w:bottom w:val="nil"/>
        <w:right w:val="nil"/>
        <w:between w:val="nil"/>
      </w:pBdr>
      <w:tabs>
        <w:tab w:val="left" w:pos="567"/>
      </w:tabs>
      <w:jc w:val="both"/>
    </w:pPr>
    <w:rPr>
      <w:color w:val="000000"/>
      <w:sz w:val="22"/>
      <w:szCs w:val="22"/>
    </w:rPr>
  </w:style>
  <w:style w:type="character" w:customStyle="1" w:styleId="RecLevel1Char">
    <w:name w:val="Rec Level1 Char"/>
    <w:basedOn w:val="DefaultParagraphFont"/>
    <w:link w:val="RecLevel1"/>
    <w:uiPriority w:val="1"/>
    <w:rsid w:val="00E56A79"/>
    <w:rPr>
      <w:rFonts w:ascii="Verdana" w:eastAsia="Verdana" w:hAnsi="Verdana" w:cs="Arial"/>
      <w:color w:val="000000"/>
      <w:sz w:val="22"/>
      <w:szCs w:val="22"/>
      <w:lang w:eastAsia="mi-NZ"/>
    </w:rPr>
  </w:style>
  <w:style w:type="character" w:customStyle="1" w:styleId="ui-provider">
    <w:name w:val="ui-provider"/>
    <w:basedOn w:val="DefaultParagraphFont"/>
    <w:rsid w:val="00E56A79"/>
  </w:style>
  <w:style w:type="paragraph" w:styleId="ListNumber3">
    <w:name w:val="List Number 3"/>
    <w:basedOn w:val="Normal"/>
    <w:uiPriority w:val="1"/>
    <w:semiHidden/>
    <w:rsid w:val="00E56A79"/>
    <w:pPr>
      <w:tabs>
        <w:tab w:val="num" w:pos="926"/>
      </w:tabs>
      <w:suppressAutoHyphens w:val="0"/>
      <w:autoSpaceDE/>
      <w:autoSpaceDN/>
      <w:adjustRightInd/>
      <w:ind w:left="926" w:hanging="360"/>
      <w:textAlignment w:val="auto"/>
    </w:pPr>
    <w:rPr>
      <w:rFonts w:eastAsia="Times New Roman"/>
      <w:lang w:eastAsia="en-NZ"/>
    </w:rPr>
  </w:style>
  <w:style w:type="paragraph" w:customStyle="1" w:styleId="ReportBody">
    <w:name w:val="Report Body"/>
    <w:basedOn w:val="RecLevel1"/>
    <w:link w:val="ReportBodyChar"/>
    <w:uiPriority w:val="1"/>
    <w:qFormat/>
    <w:rsid w:val="00E56A79"/>
    <w:pPr>
      <w:numPr>
        <w:numId w:val="0"/>
      </w:numPr>
      <w:pBdr>
        <w:top w:val="none" w:sz="0" w:space="0" w:color="auto"/>
        <w:left w:val="none" w:sz="0" w:space="0" w:color="auto"/>
        <w:bottom w:val="none" w:sz="0" w:space="0" w:color="auto"/>
        <w:right w:val="none" w:sz="0" w:space="0" w:color="auto"/>
        <w:between w:val="none" w:sz="0" w:space="0" w:color="auto"/>
      </w:pBdr>
      <w:tabs>
        <w:tab w:val="num" w:pos="797"/>
      </w:tabs>
      <w:suppressAutoHyphens w:val="0"/>
      <w:autoSpaceDE/>
      <w:autoSpaceDN/>
      <w:adjustRightInd/>
      <w:ind w:left="797" w:hanging="360"/>
      <w:contextualSpacing/>
      <w:jc w:val="left"/>
      <w:textAlignment w:val="auto"/>
    </w:pPr>
    <w:rPr>
      <w:rFonts w:eastAsia="Times New Roman"/>
      <w:color w:val="auto"/>
      <w:sz w:val="24"/>
      <w:szCs w:val="24"/>
      <w:lang w:eastAsia="en-NZ"/>
    </w:rPr>
  </w:style>
  <w:style w:type="character" w:customStyle="1" w:styleId="ReportBodyChar">
    <w:name w:val="Report Body Char"/>
    <w:basedOn w:val="DefaultParagraphFont"/>
    <w:link w:val="ReportBody"/>
    <w:uiPriority w:val="1"/>
    <w:rsid w:val="00E56A79"/>
    <w:rPr>
      <w:rFonts w:ascii="Verdana" w:eastAsia="Times New Roman" w:hAnsi="Verdana" w:cs="Arial"/>
      <w:sz w:val="24"/>
      <w:szCs w:val="24"/>
      <w:lang w:eastAsia="en-NZ"/>
    </w:rPr>
  </w:style>
  <w:style w:type="paragraph" w:styleId="Header">
    <w:name w:val="header"/>
    <w:basedOn w:val="Normal"/>
    <w:link w:val="HeaderChar"/>
    <w:uiPriority w:val="99"/>
    <w:unhideWhenUsed/>
    <w:rsid w:val="0095130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1306"/>
    <w:rPr>
      <w:rFonts w:ascii="Verdana" w:eastAsia="Verdana" w:hAnsi="Verdana" w:cs="Arial"/>
      <w:sz w:val="24"/>
      <w:szCs w:val="24"/>
      <w:lang w:eastAsia="mi-NZ"/>
    </w:rPr>
  </w:style>
  <w:style w:type="paragraph" w:styleId="CommentSubject">
    <w:name w:val="annotation subject"/>
    <w:basedOn w:val="CommentText"/>
    <w:next w:val="CommentText"/>
    <w:link w:val="CommentSubjectChar"/>
    <w:uiPriority w:val="99"/>
    <w:semiHidden/>
    <w:unhideWhenUsed/>
    <w:rsid w:val="00B56306"/>
    <w:rPr>
      <w:b/>
      <w:bCs/>
      <w:sz w:val="20"/>
    </w:rPr>
  </w:style>
  <w:style w:type="character" w:customStyle="1" w:styleId="CommentSubjectChar">
    <w:name w:val="Comment Subject Char"/>
    <w:basedOn w:val="CommentTextChar"/>
    <w:link w:val="CommentSubject"/>
    <w:uiPriority w:val="99"/>
    <w:semiHidden/>
    <w:rsid w:val="00B56306"/>
    <w:rPr>
      <w:rFonts w:ascii="Verdana" w:eastAsia="Verdana" w:hAnsi="Verdana" w:cs="Arial"/>
      <w:b/>
      <w:bCs/>
      <w:lang w:eastAsia="mi-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D1B1-E100-49D5-BBBC-1727423A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6842</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2023-03-05T20:46:00Z</dcterms:created>
  <dcterms:modified xsi:type="dcterms:W3CDTF">2023-03-05T20:47:00Z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